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4D873C1D" w:rsidR="00E8113C" w:rsidRPr="00643A84" w:rsidRDefault="0027216E" w:rsidP="00C324AE">
            <w:pPr>
              <w:rPr>
                <w:rFonts w:eastAsia="Arial" w:cs="Arial"/>
                <w:bCs/>
                <w:sz w:val="20"/>
                <w:szCs w:val="20"/>
              </w:rPr>
            </w:pPr>
            <w:r w:rsidRPr="0027216E">
              <w:rPr>
                <w:rFonts w:eastAsia="Arial" w:cs="Arial"/>
                <w:bCs/>
                <w:sz w:val="20"/>
                <w:szCs w:val="20"/>
              </w:rPr>
              <w:t>CE.SO.2020.</w:t>
            </w:r>
            <w:r w:rsidR="00154F31">
              <w:rPr>
                <w:rFonts w:eastAsia="Arial" w:cs="Arial"/>
                <w:bCs/>
                <w:sz w:val="20"/>
                <w:szCs w:val="20"/>
              </w:rPr>
              <w:t>7</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5B829A51" w:rsidR="00E8113C" w:rsidRPr="00643A84" w:rsidRDefault="00154F31" w:rsidP="00C324AE">
            <w:pPr>
              <w:rPr>
                <w:rFonts w:eastAsia="Arial" w:cs="Arial"/>
                <w:bCs/>
                <w:sz w:val="20"/>
                <w:szCs w:val="20"/>
              </w:rPr>
            </w:pPr>
            <w:r>
              <w:rPr>
                <w:rFonts w:eastAsia="Arial" w:cs="Arial"/>
                <w:bCs/>
                <w:sz w:val="20"/>
                <w:szCs w:val="20"/>
              </w:rPr>
              <w:t>6</w:t>
            </w:r>
            <w:r w:rsidR="00F17396">
              <w:rPr>
                <w:rFonts w:eastAsia="Arial" w:cs="Arial"/>
                <w:bCs/>
                <w:sz w:val="20"/>
                <w:szCs w:val="20"/>
              </w:rPr>
              <w:t xml:space="preserve"> de </w:t>
            </w:r>
            <w:r>
              <w:rPr>
                <w:rFonts w:eastAsia="Arial" w:cs="Arial"/>
                <w:bCs/>
                <w:sz w:val="20"/>
                <w:szCs w:val="20"/>
              </w:rPr>
              <w:t>octubre</w:t>
            </w:r>
            <w:r w:rsidR="00F17396">
              <w:rPr>
                <w:rFonts w:eastAsia="Arial" w:cs="Arial"/>
                <w:bCs/>
                <w:sz w:val="20"/>
                <w:szCs w:val="20"/>
              </w:rPr>
              <w:t xml:space="preserve"> </w:t>
            </w:r>
            <w:r w:rsidR="003B2AFA" w:rsidRPr="003B2AFA">
              <w:rPr>
                <w:rFonts w:eastAsia="Arial" w:cs="Arial"/>
                <w:bCs/>
                <w:sz w:val="20"/>
                <w:szCs w:val="20"/>
              </w:rPr>
              <w:t>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43A6BDA5" w:rsidR="00E8113C" w:rsidRPr="00643A84" w:rsidRDefault="00154F31" w:rsidP="00C324AE">
            <w:pPr>
              <w:rPr>
                <w:rFonts w:eastAsia="Arial" w:cs="Arial"/>
                <w:bCs/>
                <w:sz w:val="20"/>
                <w:szCs w:val="20"/>
              </w:rPr>
            </w:pPr>
            <w:r>
              <w:rPr>
                <w:rFonts w:eastAsia="Arial" w:cs="Arial"/>
                <w:bCs/>
                <w:sz w:val="20"/>
                <w:szCs w:val="20"/>
              </w:rPr>
              <w:t>9</w:t>
            </w:r>
            <w:r w:rsidR="00252FEF" w:rsidRPr="00252FEF">
              <w:rPr>
                <w:rFonts w:eastAsia="Arial" w:cs="Arial"/>
                <w:bCs/>
                <w:sz w:val="20"/>
                <w:szCs w:val="20"/>
              </w:rPr>
              <w:t>:</w:t>
            </w:r>
            <w:r>
              <w:rPr>
                <w:rFonts w:eastAsia="Arial" w:cs="Arial"/>
                <w:bCs/>
                <w:sz w:val="20"/>
                <w:szCs w:val="20"/>
              </w:rPr>
              <w:t>3</w:t>
            </w:r>
            <w:r w:rsidR="00252FEF" w:rsidRPr="00252FEF">
              <w:rPr>
                <w:rFonts w:eastAsia="Arial" w:cs="Arial"/>
                <w:bCs/>
                <w:sz w:val="20"/>
                <w:szCs w:val="20"/>
              </w:rPr>
              <w:t>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7ED3E6D2" w:rsidR="00643A84" w:rsidRPr="002F68A2" w:rsidRDefault="007220A8" w:rsidP="00C324AE">
            <w:hyperlink r:id="rId12" w:history="1">
              <w:r w:rsidR="00570820" w:rsidRPr="00CF6570">
                <w:rPr>
                  <w:rStyle w:val="Hipervnculo"/>
                  <w:rFonts w:cs="Arial"/>
                  <w:shd w:val="clear" w:color="auto" w:fill="FFFFFF"/>
                </w:rPr>
                <w:t>https://youtu.be/XQ9_7bn_ULE</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0639C84E" w14:textId="74EE778D" w:rsidR="00023376" w:rsidRDefault="003A1A4A" w:rsidP="00C324AE">
      <w:pPr>
        <w:rPr>
          <w:rFonts w:eastAsia="Arial" w:cs="Arial"/>
          <w:szCs w:val="22"/>
        </w:rPr>
      </w:pPr>
      <w:r w:rsidRPr="003A1A4A">
        <w:rPr>
          <w:rFonts w:eastAsia="Arial" w:cs="Arial"/>
          <w:szCs w:val="22"/>
        </w:rPr>
        <w:t>Conforme con lo dispuesto en el artículo 32.1 de la Ley del Sistema Anticorrupción del Estado de Jalisco y el artículo 22 del Estatuto Orgánico de la Secretaría Ejecutiva (EOSE) del Sistema Estatal Anticorrupción de Jalisco (SEAJAL), y previa convocatoria emitida el 29 de septiembre de 2020, quienes integran la Comisión Ejecutiva de la Secretaría Ejecutiva del Sistema Estatal Anticorrupción de Jalisco (SESAJ) celebran la Quinta Sesión Ordinaria vía remota, en los términos del párrafo segundo del artículo 23 del EOSE, mediante la plataforma digital que se habilitó para ello, bajo el siguiente:</w:t>
      </w:r>
    </w:p>
    <w:p w14:paraId="7B6D6377" w14:textId="77777777" w:rsidR="003A1A4A" w:rsidRPr="00DB169F" w:rsidRDefault="003A1A4A"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296CC919"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 xml:space="preserve">Lista de asistencia, declaratoria de </w:t>
      </w:r>
      <w:r w:rsidRPr="007A7888">
        <w:rPr>
          <w:rFonts w:eastAsia="Arial" w:cs="Arial"/>
          <w:i/>
          <w:iCs/>
          <w:lang w:val="es-ES_tradnl"/>
        </w:rPr>
        <w:t>quorum</w:t>
      </w:r>
      <w:r w:rsidRPr="00992A75">
        <w:rPr>
          <w:rFonts w:eastAsia="Arial" w:cs="Arial"/>
          <w:lang w:val="es-ES_tradnl"/>
        </w:rPr>
        <w:t xml:space="preserve"> y apertura de la </w:t>
      </w:r>
      <w:r>
        <w:rPr>
          <w:rFonts w:eastAsia="Arial" w:cs="Arial"/>
          <w:lang w:val="es-ES_tradnl"/>
        </w:rPr>
        <w:t>s</w:t>
      </w:r>
      <w:r w:rsidRPr="00992A75">
        <w:rPr>
          <w:rFonts w:eastAsia="Arial" w:cs="Arial"/>
          <w:lang w:val="es-ES_tradnl"/>
        </w:rPr>
        <w:t>esión</w:t>
      </w:r>
    </w:p>
    <w:p w14:paraId="4D6B9DEC"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Lectura y</w:t>
      </w:r>
      <w:r>
        <w:rPr>
          <w:rFonts w:eastAsia="Arial" w:cs="Arial"/>
          <w:lang w:val="es-ES_tradnl"/>
        </w:rPr>
        <w:t>,</w:t>
      </w:r>
      <w:r w:rsidRPr="00992A75">
        <w:rPr>
          <w:rFonts w:eastAsia="Arial" w:cs="Arial"/>
          <w:lang w:val="es-ES_tradnl"/>
        </w:rPr>
        <w:t xml:space="preserve"> en su caso, aprobación del Orden del </w:t>
      </w:r>
      <w:r>
        <w:rPr>
          <w:rFonts w:eastAsia="Arial" w:cs="Arial"/>
          <w:lang w:val="es-ES_tradnl"/>
        </w:rPr>
        <w:t>d</w:t>
      </w:r>
      <w:r w:rsidRPr="00992A75">
        <w:rPr>
          <w:rFonts w:eastAsia="Arial" w:cs="Arial"/>
          <w:lang w:val="es-ES_tradnl"/>
        </w:rPr>
        <w:t>ía</w:t>
      </w:r>
    </w:p>
    <w:p w14:paraId="34963868"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Lectura y</w:t>
      </w:r>
      <w:r>
        <w:rPr>
          <w:rFonts w:eastAsia="Arial" w:cs="Arial"/>
          <w:lang w:val="es-ES_tradnl"/>
        </w:rPr>
        <w:t>,</w:t>
      </w:r>
      <w:r w:rsidRPr="00992A75">
        <w:rPr>
          <w:rFonts w:eastAsia="Arial" w:cs="Arial"/>
          <w:lang w:val="es-ES_tradnl"/>
        </w:rPr>
        <w:t xml:space="preserve"> en su caso, aprobación y firma de</w:t>
      </w:r>
      <w:r>
        <w:rPr>
          <w:rFonts w:eastAsia="Arial" w:cs="Arial"/>
          <w:lang w:val="es-ES_tradnl"/>
        </w:rPr>
        <w:t xml:space="preserve"> las</w:t>
      </w:r>
      <w:r w:rsidRPr="00992A75">
        <w:rPr>
          <w:rFonts w:eastAsia="Arial" w:cs="Arial"/>
          <w:lang w:val="es-ES_tradnl"/>
        </w:rPr>
        <w:t xml:space="preserve"> </w:t>
      </w:r>
      <w:r>
        <w:rPr>
          <w:rFonts w:eastAsia="Arial" w:cs="Arial"/>
          <w:lang w:val="es-ES_tradnl"/>
        </w:rPr>
        <w:t>a</w:t>
      </w:r>
      <w:r w:rsidRPr="00992A75">
        <w:rPr>
          <w:rFonts w:eastAsia="Arial" w:cs="Arial"/>
          <w:lang w:val="es-ES_tradnl"/>
        </w:rPr>
        <w:t>cta</w:t>
      </w:r>
      <w:r>
        <w:rPr>
          <w:rFonts w:eastAsia="Arial" w:cs="Arial"/>
          <w:lang w:val="es-ES_tradnl"/>
        </w:rPr>
        <w:t>s</w:t>
      </w:r>
      <w:r w:rsidRPr="00992A75">
        <w:rPr>
          <w:rFonts w:eastAsia="Arial" w:cs="Arial"/>
          <w:lang w:val="es-ES_tradnl"/>
        </w:rPr>
        <w:t xml:space="preserve"> de la</w:t>
      </w:r>
      <w:r>
        <w:rPr>
          <w:rFonts w:eastAsia="Arial" w:cs="Arial"/>
          <w:lang w:val="es-ES_tradnl"/>
        </w:rPr>
        <w:t>s</w:t>
      </w:r>
      <w:r w:rsidRPr="00992A75">
        <w:rPr>
          <w:rFonts w:eastAsia="Arial" w:cs="Arial"/>
          <w:lang w:val="es-ES_tradnl"/>
        </w:rPr>
        <w:t xml:space="preserve"> </w:t>
      </w:r>
      <w:r>
        <w:rPr>
          <w:rFonts w:eastAsia="Arial" w:cs="Arial"/>
          <w:lang w:val="es-ES_tradnl"/>
        </w:rPr>
        <w:t>s</w:t>
      </w:r>
      <w:r w:rsidRPr="00992A75">
        <w:rPr>
          <w:rFonts w:eastAsia="Arial" w:cs="Arial"/>
          <w:lang w:val="es-ES_tradnl"/>
        </w:rPr>
        <w:t>esi</w:t>
      </w:r>
      <w:r>
        <w:rPr>
          <w:rFonts w:eastAsia="Arial" w:cs="Arial"/>
          <w:lang w:val="es-ES_tradnl"/>
        </w:rPr>
        <w:t>ones</w:t>
      </w:r>
      <w:r w:rsidRPr="00992A75">
        <w:rPr>
          <w:rFonts w:eastAsia="Arial" w:cs="Arial"/>
          <w:lang w:val="es-ES_tradnl"/>
        </w:rPr>
        <w:t xml:space="preserve"> celebrada</w:t>
      </w:r>
      <w:r>
        <w:rPr>
          <w:rFonts w:eastAsia="Arial" w:cs="Arial"/>
          <w:lang w:val="es-ES_tradnl"/>
        </w:rPr>
        <w:t>s</w:t>
      </w:r>
      <w:r w:rsidRPr="00992A75">
        <w:rPr>
          <w:rFonts w:eastAsia="Arial" w:cs="Arial"/>
          <w:lang w:val="es-ES_tradnl"/>
        </w:rPr>
        <w:t xml:space="preserve"> el 2</w:t>
      </w:r>
      <w:r>
        <w:rPr>
          <w:rFonts w:eastAsia="Arial" w:cs="Arial"/>
          <w:lang w:val="es-ES_tradnl"/>
        </w:rPr>
        <w:t>1 y 24</w:t>
      </w:r>
      <w:r w:rsidRPr="00992A75">
        <w:rPr>
          <w:rFonts w:eastAsia="Arial" w:cs="Arial"/>
          <w:lang w:val="es-ES_tradnl"/>
        </w:rPr>
        <w:t xml:space="preserve"> de ju</w:t>
      </w:r>
      <w:r>
        <w:rPr>
          <w:rFonts w:eastAsia="Arial" w:cs="Arial"/>
          <w:lang w:val="es-ES_tradnl"/>
        </w:rPr>
        <w:t>l</w:t>
      </w:r>
      <w:r w:rsidRPr="00992A75">
        <w:rPr>
          <w:rFonts w:eastAsia="Arial" w:cs="Arial"/>
          <w:lang w:val="es-ES_tradnl"/>
        </w:rPr>
        <w:t>io de 2020</w:t>
      </w:r>
    </w:p>
    <w:p w14:paraId="01FEC72D"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 xml:space="preserve">Presentación del seguimiento de </w:t>
      </w:r>
      <w:r>
        <w:rPr>
          <w:rFonts w:eastAsia="Arial" w:cs="Arial"/>
          <w:lang w:val="es-ES_tradnl"/>
        </w:rPr>
        <w:t>a</w:t>
      </w:r>
      <w:r w:rsidRPr="00992A75">
        <w:rPr>
          <w:rFonts w:eastAsia="Arial" w:cs="Arial"/>
          <w:lang w:val="es-ES_tradnl"/>
        </w:rPr>
        <w:t>cuerdos</w:t>
      </w:r>
    </w:p>
    <w:p w14:paraId="262BB136" w14:textId="77777777" w:rsidR="004E4964" w:rsidRPr="007E6017" w:rsidRDefault="004E4964" w:rsidP="00EC6B98">
      <w:pPr>
        <w:pStyle w:val="Prrafodelista"/>
        <w:numPr>
          <w:ilvl w:val="0"/>
          <w:numId w:val="2"/>
        </w:numPr>
        <w:spacing w:after="160"/>
        <w:contextualSpacing/>
        <w:jc w:val="both"/>
        <w:rPr>
          <w:rFonts w:eastAsia="Arial" w:cs="Arial"/>
          <w:lang w:val="es-ES_tradnl"/>
        </w:rPr>
      </w:pPr>
      <w:r>
        <w:rPr>
          <w:rFonts w:eastAsia="Arial" w:cs="Arial"/>
          <w:lang w:val="es-ES_tradnl"/>
        </w:rPr>
        <w:t>Presentación y, en su caso, aprobación</w:t>
      </w:r>
      <w:r w:rsidRPr="00992A75">
        <w:rPr>
          <w:rFonts w:eastAsia="Arial" w:cs="Arial"/>
          <w:lang w:val="es-ES_tradnl"/>
        </w:rPr>
        <w:t xml:space="preserve"> </w:t>
      </w:r>
      <w:r>
        <w:rPr>
          <w:rFonts w:eastAsia="Arial" w:cs="Arial"/>
          <w:lang w:val="es-ES_tradnl"/>
        </w:rPr>
        <w:t xml:space="preserve">de la propuesta de </w:t>
      </w:r>
      <w:r w:rsidRPr="00992A75">
        <w:rPr>
          <w:rFonts w:eastAsia="Arial" w:cs="Arial"/>
        </w:rPr>
        <w:t>Política Estatal Anticorrupción de Jalisco</w:t>
      </w:r>
      <w:r>
        <w:rPr>
          <w:rFonts w:eastAsia="Arial" w:cs="Arial"/>
        </w:rPr>
        <w:t xml:space="preserve"> que se presentará al Comité Coordinador </w:t>
      </w:r>
    </w:p>
    <w:p w14:paraId="753A305E" w14:textId="77777777" w:rsidR="004E4964" w:rsidRPr="00E24073" w:rsidRDefault="004E4964" w:rsidP="00EC6B98">
      <w:pPr>
        <w:pStyle w:val="Prrafodelista"/>
        <w:numPr>
          <w:ilvl w:val="0"/>
          <w:numId w:val="2"/>
        </w:numPr>
        <w:spacing w:after="160"/>
        <w:contextualSpacing/>
        <w:jc w:val="both"/>
        <w:rPr>
          <w:rFonts w:eastAsia="Arial" w:cs="Arial"/>
          <w:lang w:val="es-ES_tradnl"/>
        </w:rPr>
      </w:pPr>
      <w:r w:rsidRPr="00E24073">
        <w:rPr>
          <w:rFonts w:eastAsia="Arial" w:cs="Arial"/>
        </w:rPr>
        <w:t>Presentación y</w:t>
      </w:r>
      <w:r>
        <w:rPr>
          <w:rFonts w:eastAsia="Arial" w:cs="Arial"/>
        </w:rPr>
        <w:t>,</w:t>
      </w:r>
      <w:r w:rsidRPr="00E24073">
        <w:rPr>
          <w:rFonts w:eastAsia="Arial" w:cs="Arial"/>
        </w:rPr>
        <w:t xml:space="preserve"> en su caso, aprobación de la metodología para </w:t>
      </w:r>
      <w:r>
        <w:rPr>
          <w:rFonts w:eastAsia="Arial" w:cs="Arial"/>
        </w:rPr>
        <w:t>identificar los riesgos de faltas administrativas y hechos de corrupción en los procesos de adquisiciones de los entes públicos y proponer un plan para su mitigación, con base en las observaciones emitidas</w:t>
      </w:r>
      <w:r w:rsidRPr="00E24073">
        <w:rPr>
          <w:rFonts w:eastAsia="Arial" w:cs="Arial"/>
        </w:rPr>
        <w:t xml:space="preserve"> por la A</w:t>
      </w:r>
      <w:r>
        <w:rPr>
          <w:rFonts w:eastAsia="Arial" w:cs="Arial"/>
        </w:rPr>
        <w:t xml:space="preserve">uditoría </w:t>
      </w:r>
      <w:r w:rsidRPr="00E24073">
        <w:rPr>
          <w:rFonts w:eastAsia="Arial" w:cs="Arial"/>
        </w:rPr>
        <w:t>S</w:t>
      </w:r>
      <w:r>
        <w:rPr>
          <w:rFonts w:eastAsia="Arial" w:cs="Arial"/>
        </w:rPr>
        <w:t xml:space="preserve">uperior del </w:t>
      </w:r>
      <w:r w:rsidRPr="00E24073">
        <w:rPr>
          <w:rFonts w:eastAsia="Arial" w:cs="Arial"/>
        </w:rPr>
        <w:t>E</w:t>
      </w:r>
      <w:r>
        <w:rPr>
          <w:rFonts w:eastAsia="Arial" w:cs="Arial"/>
        </w:rPr>
        <w:t>stado de Jalisco</w:t>
      </w:r>
      <w:r w:rsidRPr="00E24073">
        <w:rPr>
          <w:rFonts w:eastAsia="Arial" w:cs="Arial"/>
        </w:rPr>
        <w:t xml:space="preserve">, </w:t>
      </w:r>
      <w:r>
        <w:rPr>
          <w:rFonts w:eastAsia="Arial" w:cs="Arial"/>
        </w:rPr>
        <w:t xml:space="preserve">la </w:t>
      </w:r>
      <w:r w:rsidRPr="00E24073">
        <w:rPr>
          <w:rFonts w:eastAsia="Arial" w:cs="Arial"/>
        </w:rPr>
        <w:t>C</w:t>
      </w:r>
      <w:r>
        <w:rPr>
          <w:rFonts w:eastAsia="Arial" w:cs="Arial"/>
        </w:rPr>
        <w:t xml:space="preserve">ontraloría del </w:t>
      </w:r>
      <w:r w:rsidRPr="00E24073">
        <w:rPr>
          <w:rFonts w:eastAsia="Arial" w:cs="Arial"/>
        </w:rPr>
        <w:t>E</w:t>
      </w:r>
      <w:r>
        <w:rPr>
          <w:rFonts w:eastAsia="Arial" w:cs="Arial"/>
        </w:rPr>
        <w:t>stado</w:t>
      </w:r>
      <w:r w:rsidRPr="00E24073">
        <w:rPr>
          <w:rFonts w:eastAsia="Arial" w:cs="Arial"/>
        </w:rPr>
        <w:t xml:space="preserve"> y el I</w:t>
      </w:r>
      <w:r>
        <w:rPr>
          <w:rFonts w:eastAsia="Arial" w:cs="Arial"/>
        </w:rPr>
        <w:t>nstituto de Transparencia, Información Pública y Protección de Datos Personales del Estado.</w:t>
      </w:r>
    </w:p>
    <w:p w14:paraId="545E8F7E"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Asuntos generales</w:t>
      </w:r>
    </w:p>
    <w:p w14:paraId="4AB3ACAA"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Acuerdos</w:t>
      </w:r>
    </w:p>
    <w:p w14:paraId="69F3D211" w14:textId="77777777" w:rsidR="004E4964" w:rsidRPr="00992A75" w:rsidRDefault="004E4964" w:rsidP="00EC6B98">
      <w:pPr>
        <w:pStyle w:val="Prrafodelista"/>
        <w:numPr>
          <w:ilvl w:val="0"/>
          <w:numId w:val="2"/>
        </w:numPr>
        <w:spacing w:after="160"/>
        <w:contextualSpacing/>
        <w:jc w:val="both"/>
        <w:rPr>
          <w:rFonts w:eastAsia="Arial" w:cs="Arial"/>
          <w:lang w:val="es-ES_tradnl"/>
        </w:rPr>
      </w:pPr>
      <w:r w:rsidRPr="00992A75">
        <w:rPr>
          <w:rFonts w:eastAsia="Arial" w:cs="Arial"/>
          <w:lang w:val="es-ES_tradnl"/>
        </w:rPr>
        <w:t xml:space="preserve">Clausura de la </w:t>
      </w:r>
      <w:r>
        <w:rPr>
          <w:rFonts w:eastAsia="Arial" w:cs="Arial"/>
          <w:lang w:val="es-ES_tradnl"/>
        </w:rPr>
        <w:t>s</w:t>
      </w:r>
      <w:r w:rsidRPr="00992A75">
        <w:rPr>
          <w:rFonts w:eastAsia="Arial" w:cs="Arial"/>
          <w:lang w:val="es-ES_tradnl"/>
        </w:rPr>
        <w:t>esión</w:t>
      </w:r>
    </w:p>
    <w:p w14:paraId="2E3905BE" w14:textId="77777777" w:rsidR="00643A84" w:rsidRPr="00187922" w:rsidRDefault="00643A84" w:rsidP="0077533C">
      <w:pPr>
        <w:rPr>
          <w:rFonts w:eastAsia="Arial" w:cs="Arial"/>
          <w:szCs w:val="22"/>
        </w:rPr>
      </w:pPr>
    </w:p>
    <w:p w14:paraId="2822D964" w14:textId="50E2DD2E" w:rsidR="0051331E" w:rsidRPr="00061CB3" w:rsidRDefault="004D0ED2" w:rsidP="00EC6B98">
      <w:pPr>
        <w:pStyle w:val="Prrafodelista"/>
        <w:numPr>
          <w:ilvl w:val="0"/>
          <w:numId w:val="1"/>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4AFCE4DA" w14:textId="4DDF2D0D" w:rsidR="00153533" w:rsidRDefault="00E96067" w:rsidP="00E96067">
      <w:pPr>
        <w:rPr>
          <w:rFonts w:eastAsia="Arial" w:cs="Arial"/>
          <w:szCs w:val="22"/>
          <w:lang w:val="es-ES"/>
        </w:rPr>
      </w:pPr>
      <w:r w:rsidRPr="00E96067">
        <w:rPr>
          <w:rFonts w:eastAsia="Arial" w:cs="Arial"/>
          <w:szCs w:val="22"/>
          <w:lang w:val="es-ES"/>
        </w:rPr>
        <w:t xml:space="preserve">La Secretaria Técnica, Haimé Figueroa Neri, da la bienvenida y agradece a quienes integran la Comisión Ejecutiva su tiempo para estar presentes de manera virtual, atendiendo las medidas que se deben tomar respecto a la emergencia sanitaria. Verifica la </w:t>
      </w:r>
      <w:r w:rsidRPr="00E96067">
        <w:rPr>
          <w:rFonts w:eastAsia="Arial" w:cs="Arial"/>
          <w:szCs w:val="22"/>
          <w:lang w:val="es-ES"/>
        </w:rPr>
        <w:lastRenderedPageBreak/>
        <w:t>asistencia de cuatro de las cinco personas que integran de la Comisión Ejecutiva vía remota mediante la plataforma digital, por lo que existe el quorum necesario y da inicio a la sesión</w:t>
      </w:r>
      <w:r>
        <w:rPr>
          <w:rFonts w:eastAsia="Arial" w:cs="Arial"/>
          <w:szCs w:val="22"/>
          <w:lang w:val="es-ES"/>
        </w:rPr>
        <w:t>.</w:t>
      </w:r>
    </w:p>
    <w:p w14:paraId="10169858" w14:textId="77777777" w:rsidR="00E96067" w:rsidRDefault="00E96067" w:rsidP="00D14E66">
      <w:pPr>
        <w:jc w:val="center"/>
        <w:rPr>
          <w:rFonts w:eastAsia="Arial" w:cs="Arial"/>
          <w:szCs w:val="22"/>
        </w:rPr>
      </w:pPr>
    </w:p>
    <w:p w14:paraId="72EEB76A" w14:textId="153993D9" w:rsidR="002803DF" w:rsidRPr="002803DF" w:rsidRDefault="002803DF" w:rsidP="00EC6B98">
      <w:pPr>
        <w:pStyle w:val="Prrafodelista"/>
        <w:numPr>
          <w:ilvl w:val="0"/>
          <w:numId w:val="1"/>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52057509" w14:textId="3CC2EE05" w:rsidR="00B97186" w:rsidRDefault="00C8745A" w:rsidP="00C86FA3">
      <w:pPr>
        <w:rPr>
          <w:rFonts w:eastAsia="Arial" w:cs="Arial"/>
          <w:szCs w:val="22"/>
          <w:lang w:val="es-ES"/>
        </w:rPr>
      </w:pPr>
      <w:r w:rsidRPr="00C8745A">
        <w:rPr>
          <w:rFonts w:eastAsia="Arial" w:cs="Arial"/>
          <w:szCs w:val="22"/>
          <w:lang w:val="es-ES"/>
        </w:rPr>
        <w:t>La Secretaria Técnica da lectura al Orden del día, tras lo cual lo somete a votación y es aprobado por las personas integrantes de la Comisión Ejecutiva presentes de manera virtual.</w:t>
      </w:r>
    </w:p>
    <w:p w14:paraId="1D320C83" w14:textId="77777777" w:rsidR="00C8745A" w:rsidRDefault="00C8745A" w:rsidP="00C86FA3">
      <w:pPr>
        <w:rPr>
          <w:rFonts w:eastAsia="Arial" w:cs="Arial"/>
          <w:b/>
          <w:bCs/>
          <w:color w:val="006078"/>
          <w:szCs w:val="22"/>
          <w:lang w:val="es-ES"/>
        </w:rPr>
      </w:pPr>
    </w:p>
    <w:p w14:paraId="78395E41" w14:textId="2E165C7C" w:rsidR="002B4726" w:rsidRPr="002B4726" w:rsidRDefault="002B4726" w:rsidP="00EC6B98">
      <w:pPr>
        <w:pStyle w:val="Prrafodelista"/>
        <w:numPr>
          <w:ilvl w:val="0"/>
          <w:numId w:val="1"/>
        </w:numPr>
        <w:rPr>
          <w:rFonts w:eastAsia="Arial" w:cs="Arial"/>
          <w:b/>
          <w:bCs/>
          <w:color w:val="006078"/>
          <w:szCs w:val="22"/>
        </w:rPr>
      </w:pPr>
      <w:r w:rsidRPr="002B4726">
        <w:rPr>
          <w:rFonts w:eastAsia="Arial" w:cs="Arial"/>
          <w:b/>
          <w:bCs/>
          <w:color w:val="006078"/>
          <w:szCs w:val="22"/>
        </w:rPr>
        <w:t xml:space="preserve">Lectura y, en su caso, aprobación </w:t>
      </w:r>
      <w:r w:rsidR="00C6356B" w:rsidRPr="00C6356B">
        <w:rPr>
          <w:rFonts w:eastAsia="Arial" w:cs="Arial"/>
          <w:b/>
          <w:bCs/>
          <w:color w:val="006078"/>
          <w:szCs w:val="22"/>
        </w:rPr>
        <w:t>y firma de las actas de las sesiones celebradas el 21 y 24 de julio de 2020</w:t>
      </w:r>
    </w:p>
    <w:p w14:paraId="0712FF7C" w14:textId="089A736D" w:rsidR="00771A6F" w:rsidRPr="002B4726" w:rsidRDefault="00771A6F" w:rsidP="002B4726">
      <w:pPr>
        <w:pStyle w:val="Prrafodelista"/>
        <w:ind w:left="720"/>
        <w:rPr>
          <w:rFonts w:cs="Arial"/>
        </w:rPr>
      </w:pPr>
    </w:p>
    <w:p w14:paraId="144778D3" w14:textId="6C0722FB" w:rsidR="007A3398" w:rsidRDefault="00783E1C" w:rsidP="00C86FA3">
      <w:pPr>
        <w:rPr>
          <w:rFonts w:cs="Arial"/>
        </w:rPr>
      </w:pPr>
      <w:r w:rsidRPr="00783E1C">
        <w:rPr>
          <w:rFonts w:cs="Arial"/>
        </w:rPr>
        <w:t>La Secretaria Técnica menciona que las actas de referencia fueron enviadas con anterioridad, por lo que solicita excusarse de la lectura de las mismas y las somete a aprobación. Con el voto de las cuatro personas integrantes presentes de manera virtual, son aprobadas las actas en mención.</w:t>
      </w:r>
    </w:p>
    <w:p w14:paraId="68D5E21B" w14:textId="77777777" w:rsidR="00783E1C" w:rsidRDefault="00783E1C" w:rsidP="00C86FA3">
      <w:pPr>
        <w:rPr>
          <w:rFonts w:cs="Arial"/>
        </w:rPr>
      </w:pPr>
    </w:p>
    <w:p w14:paraId="0CB7F764" w14:textId="71640663" w:rsidR="002C181A" w:rsidRPr="005B0363" w:rsidRDefault="0003088E" w:rsidP="00EC6B98">
      <w:pPr>
        <w:pStyle w:val="Prrafodelista"/>
        <w:numPr>
          <w:ilvl w:val="0"/>
          <w:numId w:val="1"/>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8784" w:type="dxa"/>
        <w:tblLayout w:type="fixed"/>
        <w:tblLook w:val="04A0" w:firstRow="1" w:lastRow="0" w:firstColumn="1" w:lastColumn="0" w:noHBand="0" w:noVBand="1"/>
      </w:tblPr>
      <w:tblGrid>
        <w:gridCol w:w="706"/>
        <w:gridCol w:w="1466"/>
        <w:gridCol w:w="2643"/>
        <w:gridCol w:w="3969"/>
      </w:tblGrid>
      <w:tr w:rsidR="00C86FA3" w14:paraId="1BC84D58" w14:textId="77777777" w:rsidTr="00D13E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1466"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2643"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3969"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742A38" w14:paraId="4736B551"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462B246F" w14:textId="77777777" w:rsidR="00742A38" w:rsidRDefault="00742A38" w:rsidP="00742A38">
            <w:pPr>
              <w:jc w:val="center"/>
              <w:rPr>
                <w:rFonts w:eastAsia="Arial" w:cs="Arial"/>
                <w:b w:val="0"/>
                <w:szCs w:val="22"/>
              </w:rPr>
            </w:pPr>
          </w:p>
          <w:p w14:paraId="324D06A7" w14:textId="77777777" w:rsidR="00742A38" w:rsidRDefault="00742A38" w:rsidP="00742A38">
            <w:pPr>
              <w:jc w:val="center"/>
              <w:rPr>
                <w:rFonts w:eastAsia="Arial" w:cs="Arial"/>
                <w:b w:val="0"/>
                <w:bCs w:val="0"/>
                <w:szCs w:val="22"/>
              </w:rPr>
            </w:pPr>
          </w:p>
          <w:p w14:paraId="6B35D7FA" w14:textId="2716FEFB" w:rsidR="00742A38" w:rsidRDefault="00742A38" w:rsidP="00742A38">
            <w:pPr>
              <w:jc w:val="center"/>
              <w:rPr>
                <w:rFonts w:eastAsia="Arial" w:cs="Arial"/>
                <w:szCs w:val="22"/>
              </w:rPr>
            </w:pPr>
          </w:p>
          <w:p w14:paraId="3840A246" w14:textId="229E2F06" w:rsidR="00742A38" w:rsidRDefault="00742A38" w:rsidP="00742A38">
            <w:pPr>
              <w:jc w:val="center"/>
              <w:rPr>
                <w:rFonts w:eastAsia="Arial" w:cs="Arial"/>
                <w:szCs w:val="22"/>
              </w:rPr>
            </w:pPr>
          </w:p>
          <w:p w14:paraId="297EB99F" w14:textId="7DA3C454" w:rsidR="00742A38" w:rsidRDefault="00742A38" w:rsidP="00742A38">
            <w:pPr>
              <w:jc w:val="center"/>
              <w:rPr>
                <w:rFonts w:eastAsia="Arial" w:cs="Arial"/>
                <w:szCs w:val="22"/>
              </w:rPr>
            </w:pPr>
          </w:p>
          <w:p w14:paraId="0EAFB3DE" w14:textId="05940E1D" w:rsidR="00742A38" w:rsidRDefault="00742A38" w:rsidP="00742A38">
            <w:pPr>
              <w:jc w:val="center"/>
              <w:rPr>
                <w:rFonts w:eastAsia="Arial" w:cs="Arial"/>
                <w:szCs w:val="22"/>
              </w:rPr>
            </w:pPr>
          </w:p>
          <w:p w14:paraId="1BEE266F" w14:textId="1A453722" w:rsidR="00742A38" w:rsidRDefault="00742A38" w:rsidP="00742A38">
            <w:pPr>
              <w:jc w:val="center"/>
              <w:rPr>
                <w:rFonts w:eastAsia="Arial" w:cs="Arial"/>
                <w:szCs w:val="22"/>
              </w:rPr>
            </w:pPr>
          </w:p>
          <w:p w14:paraId="6C60DFC7" w14:textId="5B75B99F" w:rsidR="00742A38" w:rsidRDefault="00742A38" w:rsidP="00742A38">
            <w:pPr>
              <w:jc w:val="center"/>
              <w:rPr>
                <w:rFonts w:eastAsia="Arial" w:cs="Arial"/>
                <w:szCs w:val="22"/>
              </w:rPr>
            </w:pPr>
          </w:p>
          <w:p w14:paraId="4E5EEAFE" w14:textId="2A69F122" w:rsidR="00742A38" w:rsidRDefault="00742A38" w:rsidP="00742A38">
            <w:pPr>
              <w:jc w:val="center"/>
              <w:rPr>
                <w:rFonts w:eastAsia="Arial" w:cs="Arial"/>
                <w:szCs w:val="22"/>
              </w:rPr>
            </w:pPr>
          </w:p>
          <w:p w14:paraId="3D547D8B" w14:textId="6D610F51" w:rsidR="00742A38" w:rsidRDefault="00742A38" w:rsidP="00742A38">
            <w:pPr>
              <w:jc w:val="center"/>
              <w:rPr>
                <w:rFonts w:eastAsia="Arial" w:cs="Arial"/>
                <w:szCs w:val="22"/>
              </w:rPr>
            </w:pPr>
          </w:p>
          <w:p w14:paraId="3F957DC1" w14:textId="77777777" w:rsidR="00742A38" w:rsidRDefault="00742A38" w:rsidP="00742A38">
            <w:pPr>
              <w:jc w:val="center"/>
              <w:rPr>
                <w:rFonts w:eastAsia="Arial" w:cs="Arial"/>
                <w:b w:val="0"/>
                <w:bCs w:val="0"/>
                <w:szCs w:val="22"/>
              </w:rPr>
            </w:pPr>
          </w:p>
          <w:p w14:paraId="4D2B033D" w14:textId="77777777" w:rsidR="00742A38" w:rsidRDefault="00742A38" w:rsidP="00742A38">
            <w:pPr>
              <w:jc w:val="center"/>
              <w:rPr>
                <w:rFonts w:eastAsia="Arial" w:cs="Arial"/>
                <w:b w:val="0"/>
                <w:bCs w:val="0"/>
                <w:szCs w:val="22"/>
              </w:rPr>
            </w:pPr>
          </w:p>
          <w:p w14:paraId="4A7E1563" w14:textId="77777777" w:rsidR="00742A38" w:rsidRDefault="00742A38" w:rsidP="00742A38">
            <w:pPr>
              <w:jc w:val="center"/>
              <w:rPr>
                <w:rFonts w:eastAsia="Arial" w:cs="Arial"/>
                <w:b w:val="0"/>
                <w:bCs w:val="0"/>
                <w:szCs w:val="22"/>
              </w:rPr>
            </w:pPr>
          </w:p>
          <w:p w14:paraId="00219137" w14:textId="0628136E" w:rsidR="00742A38" w:rsidRDefault="00742A38" w:rsidP="00742A38">
            <w:pPr>
              <w:jc w:val="center"/>
              <w:rPr>
                <w:rFonts w:eastAsia="Arial" w:cs="Arial"/>
                <w:b w:val="0"/>
                <w:szCs w:val="22"/>
              </w:rPr>
            </w:pPr>
            <w:r>
              <w:rPr>
                <w:rFonts w:eastAsia="Arial" w:cs="Arial"/>
                <w:szCs w:val="22"/>
              </w:rPr>
              <w:t>2020</w:t>
            </w:r>
          </w:p>
          <w:p w14:paraId="6D8E3251" w14:textId="77777777" w:rsidR="00742A38" w:rsidRDefault="00742A38" w:rsidP="00742A38">
            <w:pPr>
              <w:rPr>
                <w:rFonts w:eastAsia="Arial" w:cs="Arial"/>
                <w:b w:val="0"/>
                <w:bCs w:val="0"/>
                <w:sz w:val="20"/>
                <w:szCs w:val="20"/>
                <w:lang w:val="es-ES"/>
              </w:rPr>
            </w:pPr>
          </w:p>
          <w:p w14:paraId="69DD0ADE" w14:textId="77777777" w:rsidR="00742A38" w:rsidRDefault="00742A38" w:rsidP="00742A38">
            <w:pPr>
              <w:rPr>
                <w:rFonts w:eastAsia="Arial" w:cs="Arial"/>
                <w:b w:val="0"/>
                <w:bCs w:val="0"/>
                <w:sz w:val="20"/>
                <w:szCs w:val="20"/>
                <w:lang w:val="es-ES"/>
              </w:rPr>
            </w:pPr>
          </w:p>
          <w:p w14:paraId="5FF6CC1A" w14:textId="77777777" w:rsidR="00742A38" w:rsidRDefault="00742A38" w:rsidP="00742A38">
            <w:pPr>
              <w:rPr>
                <w:rFonts w:eastAsia="Arial" w:cs="Arial"/>
                <w:b w:val="0"/>
                <w:bCs w:val="0"/>
                <w:sz w:val="20"/>
                <w:szCs w:val="20"/>
                <w:lang w:val="es-ES"/>
              </w:rPr>
            </w:pPr>
          </w:p>
          <w:p w14:paraId="1A00D90A" w14:textId="77777777" w:rsidR="00742A38" w:rsidRDefault="00742A38" w:rsidP="00742A38">
            <w:pPr>
              <w:jc w:val="center"/>
              <w:rPr>
                <w:rFonts w:eastAsia="Arial" w:cs="Arial"/>
                <w:b w:val="0"/>
                <w:bCs w:val="0"/>
                <w:sz w:val="20"/>
                <w:szCs w:val="20"/>
                <w:lang w:val="es-ES"/>
              </w:rPr>
            </w:pPr>
          </w:p>
          <w:p w14:paraId="6E4BEA01" w14:textId="27215E4B" w:rsidR="00742A38" w:rsidRPr="00924154" w:rsidRDefault="00742A38" w:rsidP="00742A38">
            <w:pPr>
              <w:jc w:val="center"/>
              <w:rPr>
                <w:rFonts w:eastAsia="Arial" w:cs="Arial"/>
                <w:sz w:val="20"/>
                <w:szCs w:val="20"/>
                <w:lang w:val="es-ES"/>
              </w:rPr>
            </w:pPr>
          </w:p>
        </w:tc>
        <w:tc>
          <w:tcPr>
            <w:tcW w:w="1466" w:type="dxa"/>
          </w:tcPr>
          <w:p w14:paraId="715D1BAD" w14:textId="05E89FB8" w:rsidR="00742A38" w:rsidRPr="00D4086C" w:rsidRDefault="00742A38" w:rsidP="00742A3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570A0">
              <w:rPr>
                <w:rFonts w:cs="Arial"/>
                <w:sz w:val="20"/>
              </w:rPr>
              <w:t>A.CE.20</w:t>
            </w:r>
            <w:r>
              <w:rPr>
                <w:rFonts w:cs="Arial"/>
                <w:sz w:val="20"/>
              </w:rPr>
              <w:t>20</w:t>
            </w:r>
            <w:r w:rsidRPr="00C570A0">
              <w:rPr>
                <w:rFonts w:cs="Arial"/>
                <w:sz w:val="20"/>
              </w:rPr>
              <w:t>.</w:t>
            </w:r>
            <w:r>
              <w:rPr>
                <w:rFonts w:cs="Arial"/>
                <w:sz w:val="20"/>
              </w:rPr>
              <w:t>4</w:t>
            </w:r>
            <w:r w:rsidRPr="00C570A0">
              <w:rPr>
                <w:rFonts w:cs="Arial"/>
                <w:sz w:val="20"/>
              </w:rPr>
              <w:t xml:space="preserve"> de </w:t>
            </w:r>
            <w:r>
              <w:rPr>
                <w:rFonts w:cs="Arial"/>
                <w:sz w:val="20"/>
              </w:rPr>
              <w:t>21.04.2020</w:t>
            </w:r>
          </w:p>
        </w:tc>
        <w:tc>
          <w:tcPr>
            <w:tcW w:w="2643" w:type="dxa"/>
          </w:tcPr>
          <w:p w14:paraId="48440905" w14:textId="77777777" w:rsidR="00742A38" w:rsidRPr="008939FF" w:rsidRDefault="00742A38" w:rsidP="00742A38">
            <w:pPr>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8939FF">
              <w:rPr>
                <w:rFonts w:eastAsia="Times New Roman" w:cs="Arial"/>
                <w:sz w:val="20"/>
                <w:lang w:val="es-ES"/>
              </w:rPr>
              <w:t>Se aprueba la estrategia de difusión y capacitación de la guía para la presentación de denuncias por faltas administrativas y hechos de corrupción.</w:t>
            </w:r>
          </w:p>
          <w:p w14:paraId="1BFBAAAB" w14:textId="025130DC" w:rsidR="00742A38" w:rsidRPr="00D4086C" w:rsidRDefault="00742A38" w:rsidP="00742A38">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3969" w:type="dxa"/>
          </w:tcPr>
          <w:p w14:paraId="2335C0B2" w14:textId="77777777" w:rsidR="00742A38" w:rsidRDefault="00742A38" w:rsidP="00742A38">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0A44FB">
              <w:rPr>
                <w:rFonts w:eastAsia="Times New Roman" w:cs="Arial"/>
                <w:sz w:val="20"/>
                <w:lang w:val="es-ES"/>
              </w:rPr>
              <w:t>En proceso</w:t>
            </w:r>
          </w:p>
          <w:p w14:paraId="602E3977" w14:textId="77777777" w:rsidR="00742A38" w:rsidRPr="00771725" w:rsidRDefault="00742A38" w:rsidP="00742A38">
            <w:pPr>
              <w:ind w:left="37"/>
              <w:contextualSpacing/>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Durante el último trimestre del año, se realizará la siguiente campaña de difusión: </w:t>
            </w:r>
          </w:p>
          <w:p w14:paraId="685F6B09" w14:textId="77777777" w:rsidR="00742A38" w:rsidRPr="0016083F" w:rsidRDefault="00742A38" w:rsidP="00EC6B98">
            <w:pPr>
              <w:pStyle w:val="Prrafodelista"/>
              <w:numPr>
                <w:ilvl w:val="0"/>
                <w:numId w:val="5"/>
              </w:numPr>
              <w:ind w:left="179" w:hanging="142"/>
              <w:contextualSpacing/>
              <w:jc w:val="both"/>
              <w:cnfStyle w:val="000000100000" w:firstRow="0" w:lastRow="0" w:firstColumn="0" w:lastColumn="0" w:oddVBand="0" w:evenVBand="0" w:oddHBand="1" w:evenHBand="0" w:firstRowFirstColumn="0" w:firstRowLastColumn="0" w:lastRowFirstColumn="0" w:lastRowLastColumn="0"/>
              <w:rPr>
                <w:rFonts w:eastAsia="MS Mincho" w:cs="Arial"/>
                <w:sz w:val="20"/>
                <w:lang w:val="es-ES_tradnl"/>
              </w:rPr>
            </w:pPr>
            <w:r w:rsidRPr="0016083F">
              <w:rPr>
                <w:rFonts w:eastAsia="MS Mincho" w:cs="Arial"/>
                <w:sz w:val="20"/>
                <w:lang w:val="es-ES_tradnl"/>
              </w:rPr>
              <w:t>Publicación en cuentas institucionales de Facebook, Twitter e Instagram para promover la guía en sus tres versiones: integral, resumen y de bolsillo, a través de textos redactados para las redes sociales.</w:t>
            </w:r>
          </w:p>
          <w:p w14:paraId="20CF2E7A" w14:textId="58E7543A" w:rsidR="00742A38" w:rsidRPr="00742A38" w:rsidRDefault="00742A38" w:rsidP="00EC6B98">
            <w:pPr>
              <w:pStyle w:val="Prrafodelista"/>
              <w:numPr>
                <w:ilvl w:val="0"/>
                <w:numId w:val="5"/>
              </w:numPr>
              <w:ind w:left="179" w:hanging="142"/>
              <w:contextualSpacing/>
              <w:jc w:val="both"/>
              <w:cnfStyle w:val="000000100000" w:firstRow="0" w:lastRow="0" w:firstColumn="0" w:lastColumn="0" w:oddVBand="0" w:evenVBand="0" w:oddHBand="1" w:evenHBand="0" w:firstRowFirstColumn="0" w:firstRowLastColumn="0" w:lastRowFirstColumn="0" w:lastRowLastColumn="0"/>
              <w:rPr>
                <w:rFonts w:eastAsia="MS Mincho" w:cs="Arial"/>
                <w:sz w:val="20"/>
                <w:lang w:val="es-ES_tradnl"/>
              </w:rPr>
            </w:pPr>
            <w:r w:rsidRPr="0016083F">
              <w:rPr>
                <w:rFonts w:eastAsia="MS Mincho" w:cs="Arial"/>
                <w:sz w:val="20"/>
                <w:lang w:val="es-ES_tradnl"/>
              </w:rPr>
              <w:t xml:space="preserve">Difusión en cuentas institucionales y redes sociales por medio de 29 postales, 3 </w:t>
            </w:r>
            <w:r>
              <w:rPr>
                <w:rFonts w:eastAsia="MS Mincho" w:cs="Arial"/>
                <w:sz w:val="20"/>
                <w:lang w:val="es-ES_tradnl"/>
              </w:rPr>
              <w:t>g</w:t>
            </w:r>
            <w:r w:rsidRPr="0016083F">
              <w:rPr>
                <w:rFonts w:eastAsia="MS Mincho" w:cs="Arial"/>
                <w:sz w:val="20"/>
                <w:lang w:val="es-ES_tradnl"/>
              </w:rPr>
              <w:t>if y 2 portadas.</w:t>
            </w:r>
          </w:p>
        </w:tc>
      </w:tr>
      <w:tr w:rsidR="000160E6" w14:paraId="64FEBE78"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8D6CAB5" w14:textId="2FE1E0D1" w:rsidR="000160E6" w:rsidRPr="00924154" w:rsidRDefault="000160E6" w:rsidP="000160E6">
            <w:pPr>
              <w:jc w:val="center"/>
              <w:rPr>
                <w:rFonts w:eastAsia="Arial" w:cs="Arial"/>
                <w:sz w:val="20"/>
                <w:szCs w:val="20"/>
                <w:lang w:val="es-ES"/>
              </w:rPr>
            </w:pPr>
          </w:p>
        </w:tc>
        <w:tc>
          <w:tcPr>
            <w:tcW w:w="1466" w:type="dxa"/>
          </w:tcPr>
          <w:p w14:paraId="032B32E9" w14:textId="3F2D9607" w:rsidR="000160E6" w:rsidRPr="00BD02B9" w:rsidRDefault="000160E6" w:rsidP="000160E6">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C570A0">
              <w:rPr>
                <w:rFonts w:cs="Arial"/>
                <w:sz w:val="20"/>
              </w:rPr>
              <w:t>A.CE.20</w:t>
            </w:r>
            <w:r>
              <w:rPr>
                <w:rFonts w:cs="Arial"/>
                <w:sz w:val="20"/>
              </w:rPr>
              <w:t>20</w:t>
            </w:r>
            <w:r w:rsidRPr="00C570A0">
              <w:rPr>
                <w:rFonts w:cs="Arial"/>
                <w:sz w:val="20"/>
              </w:rPr>
              <w:t>.</w:t>
            </w:r>
            <w:r>
              <w:rPr>
                <w:rFonts w:cs="Arial"/>
                <w:sz w:val="20"/>
              </w:rPr>
              <w:t xml:space="preserve">5 </w:t>
            </w:r>
            <w:r w:rsidRPr="00C570A0">
              <w:rPr>
                <w:rFonts w:cs="Arial"/>
                <w:sz w:val="20"/>
              </w:rPr>
              <w:t xml:space="preserve">de </w:t>
            </w:r>
            <w:r>
              <w:rPr>
                <w:rFonts w:cs="Arial"/>
                <w:sz w:val="20"/>
              </w:rPr>
              <w:t>21.04.2020</w:t>
            </w:r>
          </w:p>
        </w:tc>
        <w:tc>
          <w:tcPr>
            <w:tcW w:w="2643" w:type="dxa"/>
          </w:tcPr>
          <w:p w14:paraId="2B4CCE1E" w14:textId="52E1546C" w:rsidR="000160E6" w:rsidRPr="00BD02B9" w:rsidRDefault="000160E6" w:rsidP="000160E6">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E12B5B">
              <w:rPr>
                <w:rFonts w:eastAsia="Times New Roman" w:cs="Arial"/>
                <w:sz w:val="20"/>
                <w:lang w:val="es-ES"/>
              </w:rPr>
              <w:t xml:space="preserve">Se aprueba el plan de trabajo y la metodología para la publicación de los </w:t>
            </w:r>
            <w:r>
              <w:rPr>
                <w:rFonts w:eastAsia="Times New Roman" w:cs="Arial"/>
                <w:sz w:val="20"/>
                <w:lang w:val="es-ES"/>
              </w:rPr>
              <w:t>D</w:t>
            </w:r>
            <w:r w:rsidRPr="00E12B5B">
              <w:rPr>
                <w:rFonts w:eastAsia="Times New Roman" w:cs="Arial"/>
                <w:sz w:val="20"/>
                <w:lang w:val="es-ES"/>
              </w:rPr>
              <w:t xml:space="preserve">atos </w:t>
            </w:r>
            <w:r>
              <w:rPr>
                <w:rFonts w:eastAsia="Times New Roman" w:cs="Arial"/>
                <w:sz w:val="20"/>
                <w:lang w:val="es-ES"/>
              </w:rPr>
              <w:t>A</w:t>
            </w:r>
            <w:r w:rsidRPr="00E12B5B">
              <w:rPr>
                <w:rFonts w:eastAsia="Times New Roman" w:cs="Arial"/>
                <w:sz w:val="20"/>
                <w:lang w:val="es-ES"/>
              </w:rPr>
              <w:t xml:space="preserve">biertos </w:t>
            </w:r>
            <w:r>
              <w:rPr>
                <w:rFonts w:eastAsia="Times New Roman" w:cs="Arial"/>
                <w:sz w:val="20"/>
                <w:lang w:val="es-ES"/>
              </w:rPr>
              <w:t>A</w:t>
            </w:r>
            <w:r w:rsidRPr="00E12B5B">
              <w:rPr>
                <w:rFonts w:eastAsia="Times New Roman" w:cs="Arial"/>
                <w:sz w:val="20"/>
                <w:lang w:val="es-ES"/>
              </w:rPr>
              <w:t>nticorrupción prioritarios.</w:t>
            </w:r>
          </w:p>
        </w:tc>
        <w:tc>
          <w:tcPr>
            <w:tcW w:w="3969" w:type="dxa"/>
          </w:tcPr>
          <w:p w14:paraId="61E31567" w14:textId="77777777" w:rsidR="000160E6" w:rsidRDefault="000160E6" w:rsidP="000160E6">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0"/>
                <w:lang w:val="es-ES"/>
              </w:rPr>
            </w:pPr>
            <w:r w:rsidRPr="000A44FB">
              <w:rPr>
                <w:rFonts w:eastAsia="Times New Roman" w:cs="Arial"/>
                <w:sz w:val="20"/>
                <w:lang w:val="es-ES"/>
              </w:rPr>
              <w:t>En proceso</w:t>
            </w:r>
          </w:p>
          <w:p w14:paraId="5FB902C2" w14:textId="77777777" w:rsidR="000160E6" w:rsidRDefault="000160E6" w:rsidP="00EC6B98">
            <w:pPr>
              <w:pStyle w:val="Prrafodelista"/>
              <w:numPr>
                <w:ilvl w:val="0"/>
                <w:numId w:val="6"/>
              </w:numPr>
              <w:ind w:left="178" w:hanging="141"/>
              <w:contextualSpacing/>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Se recibió respuesta vía oficio por parte del Coordinador General de Innovación Gubernamental, Mario Arauz, perteneciente a la Jefatura de Gabinete, en el que se informa de las dependencias responsables y resguardantes de 16 conjuntos de información, así como los </w:t>
            </w:r>
            <w:r w:rsidRPr="00764C25">
              <w:rPr>
                <w:rFonts w:cs="Arial"/>
                <w:sz w:val="20"/>
              </w:rPr>
              <w:t>hipervínculos</w:t>
            </w:r>
            <w:r>
              <w:rPr>
                <w:rFonts w:cs="Arial"/>
                <w:sz w:val="20"/>
              </w:rPr>
              <w:t xml:space="preserve"> en los que se encontraba dicha información.</w:t>
            </w:r>
          </w:p>
          <w:p w14:paraId="3C8C1497" w14:textId="57ABAD5C" w:rsidR="000160E6" w:rsidRPr="00BD02B9" w:rsidRDefault="000160E6" w:rsidP="00EC6B98">
            <w:pPr>
              <w:pStyle w:val="Prrafodelista"/>
              <w:numPr>
                <w:ilvl w:val="0"/>
                <w:numId w:val="3"/>
              </w:numPr>
              <w:ind w:left="179" w:hanging="179"/>
              <w:jc w:val="both"/>
              <w:cnfStyle w:val="000000000000" w:firstRow="0" w:lastRow="0" w:firstColumn="0" w:lastColumn="0" w:oddVBand="0" w:evenVBand="0" w:oddHBand="0" w:evenHBand="0" w:firstRowFirstColumn="0" w:firstRowLastColumn="0" w:lastRowFirstColumn="0" w:lastRowLastColumn="0"/>
              <w:rPr>
                <w:rFonts w:eastAsia="Arial" w:cs="Arial"/>
                <w:szCs w:val="22"/>
                <w:lang w:val="es-ES_tradnl"/>
              </w:rPr>
            </w:pPr>
            <w:r w:rsidRPr="00944627">
              <w:rPr>
                <w:rFonts w:cs="Arial"/>
                <w:sz w:val="20"/>
              </w:rPr>
              <w:t>Se está realizando una revisión minuciosa de l</w:t>
            </w:r>
            <w:r>
              <w:rPr>
                <w:rFonts w:cs="Arial"/>
                <w:sz w:val="20"/>
              </w:rPr>
              <w:t xml:space="preserve">as direcciones </w:t>
            </w:r>
            <w:r w:rsidRPr="00944627">
              <w:rPr>
                <w:rFonts w:cs="Arial"/>
                <w:sz w:val="20"/>
              </w:rPr>
              <w:t>proporcionad</w:t>
            </w:r>
            <w:r>
              <w:rPr>
                <w:rFonts w:cs="Arial"/>
                <w:sz w:val="20"/>
              </w:rPr>
              <w:t>a</w:t>
            </w:r>
            <w:r w:rsidRPr="00944627">
              <w:rPr>
                <w:rFonts w:cs="Arial"/>
                <w:sz w:val="20"/>
              </w:rPr>
              <w:t>s sobre dichos conjuntos para validar que realmente contengan los datos referidos, así como</w:t>
            </w:r>
            <w:r>
              <w:rPr>
                <w:rFonts w:cs="Arial"/>
                <w:sz w:val="20"/>
              </w:rPr>
              <w:t xml:space="preserve"> la</w:t>
            </w:r>
            <w:r w:rsidRPr="00944627">
              <w:rPr>
                <w:rFonts w:cs="Arial"/>
                <w:sz w:val="20"/>
              </w:rPr>
              <w:t xml:space="preserve"> pertinencia de la información, </w:t>
            </w:r>
            <w:r w:rsidRPr="00944627">
              <w:rPr>
                <w:rFonts w:cs="Arial"/>
                <w:sz w:val="20"/>
              </w:rPr>
              <w:lastRenderedPageBreak/>
              <w:t>actualización, continuidad, exactitud y comparabilidad.</w:t>
            </w:r>
          </w:p>
        </w:tc>
      </w:tr>
      <w:tr w:rsidR="00D17FB7" w14:paraId="67066F13"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5C4EC8F3" w14:textId="77777777" w:rsidR="00D17FB7" w:rsidRDefault="00D17FB7" w:rsidP="004044A6">
            <w:pPr>
              <w:jc w:val="center"/>
              <w:rPr>
                <w:rFonts w:eastAsia="Arial" w:cs="Arial"/>
                <w:b w:val="0"/>
                <w:bCs w:val="0"/>
                <w:sz w:val="20"/>
                <w:szCs w:val="20"/>
                <w:lang w:val="es-ES"/>
              </w:rPr>
            </w:pPr>
          </w:p>
          <w:p w14:paraId="27195201" w14:textId="77777777" w:rsidR="00D17FB7" w:rsidRDefault="00D17FB7" w:rsidP="004044A6">
            <w:pPr>
              <w:jc w:val="center"/>
              <w:rPr>
                <w:rFonts w:eastAsia="Arial" w:cs="Arial"/>
                <w:b w:val="0"/>
                <w:bCs w:val="0"/>
                <w:sz w:val="20"/>
                <w:szCs w:val="20"/>
                <w:lang w:val="es-ES"/>
              </w:rPr>
            </w:pPr>
          </w:p>
          <w:p w14:paraId="6C591FAB" w14:textId="77777777" w:rsidR="00D17FB7" w:rsidRDefault="00D17FB7" w:rsidP="004044A6">
            <w:pPr>
              <w:jc w:val="center"/>
              <w:rPr>
                <w:rFonts w:eastAsia="Arial" w:cs="Arial"/>
                <w:b w:val="0"/>
                <w:bCs w:val="0"/>
                <w:sz w:val="20"/>
                <w:szCs w:val="20"/>
                <w:lang w:val="es-ES"/>
              </w:rPr>
            </w:pPr>
          </w:p>
          <w:p w14:paraId="2FCC9AC9" w14:textId="7478E1CF" w:rsidR="00D17FB7" w:rsidRDefault="00D17FB7" w:rsidP="004044A6">
            <w:pPr>
              <w:jc w:val="center"/>
              <w:rPr>
                <w:rFonts w:eastAsia="Arial" w:cs="Arial"/>
                <w:sz w:val="20"/>
                <w:szCs w:val="20"/>
                <w:lang w:val="es-ES"/>
              </w:rPr>
            </w:pPr>
          </w:p>
          <w:p w14:paraId="5C7BC313" w14:textId="12F799EE" w:rsidR="00D17FB7" w:rsidRDefault="00D17FB7" w:rsidP="004044A6">
            <w:pPr>
              <w:jc w:val="center"/>
              <w:rPr>
                <w:rFonts w:eastAsia="Arial" w:cs="Arial"/>
                <w:sz w:val="20"/>
                <w:szCs w:val="20"/>
                <w:lang w:val="es-ES"/>
              </w:rPr>
            </w:pPr>
          </w:p>
          <w:p w14:paraId="3FD8F3C3" w14:textId="010C5171" w:rsidR="00D17FB7" w:rsidRDefault="00D17FB7" w:rsidP="004044A6">
            <w:pPr>
              <w:jc w:val="center"/>
              <w:rPr>
                <w:rFonts w:eastAsia="Arial" w:cs="Arial"/>
                <w:sz w:val="20"/>
                <w:szCs w:val="20"/>
                <w:lang w:val="es-ES"/>
              </w:rPr>
            </w:pPr>
          </w:p>
          <w:p w14:paraId="509D081C" w14:textId="334CEC85" w:rsidR="00D17FB7" w:rsidRDefault="00D17FB7" w:rsidP="004044A6">
            <w:pPr>
              <w:jc w:val="center"/>
              <w:rPr>
                <w:rFonts w:eastAsia="Arial" w:cs="Arial"/>
                <w:sz w:val="20"/>
                <w:szCs w:val="20"/>
                <w:lang w:val="es-ES"/>
              </w:rPr>
            </w:pPr>
          </w:p>
          <w:p w14:paraId="291A8129" w14:textId="78D9C95F" w:rsidR="00D17FB7" w:rsidRDefault="00D17FB7" w:rsidP="004044A6">
            <w:pPr>
              <w:jc w:val="center"/>
              <w:rPr>
                <w:rFonts w:eastAsia="Arial" w:cs="Arial"/>
                <w:sz w:val="20"/>
                <w:szCs w:val="20"/>
                <w:lang w:val="es-ES"/>
              </w:rPr>
            </w:pPr>
          </w:p>
          <w:p w14:paraId="560F4CA7" w14:textId="23FC8859" w:rsidR="00D17FB7" w:rsidRDefault="00D17FB7" w:rsidP="004044A6">
            <w:pPr>
              <w:jc w:val="center"/>
              <w:rPr>
                <w:rFonts w:eastAsia="Arial" w:cs="Arial"/>
                <w:sz w:val="20"/>
                <w:szCs w:val="20"/>
                <w:lang w:val="es-ES"/>
              </w:rPr>
            </w:pPr>
          </w:p>
          <w:p w14:paraId="2A078477" w14:textId="7D71A3AA" w:rsidR="00D17FB7" w:rsidRDefault="00D17FB7" w:rsidP="004044A6">
            <w:pPr>
              <w:jc w:val="center"/>
              <w:rPr>
                <w:rFonts w:eastAsia="Arial" w:cs="Arial"/>
                <w:sz w:val="20"/>
                <w:szCs w:val="20"/>
                <w:lang w:val="es-ES"/>
              </w:rPr>
            </w:pPr>
          </w:p>
          <w:p w14:paraId="0BA0BA2E" w14:textId="30132F48" w:rsidR="00D17FB7" w:rsidRDefault="00D17FB7" w:rsidP="004044A6">
            <w:pPr>
              <w:jc w:val="center"/>
              <w:rPr>
                <w:rFonts w:eastAsia="Arial" w:cs="Arial"/>
                <w:sz w:val="20"/>
                <w:szCs w:val="20"/>
                <w:lang w:val="es-ES"/>
              </w:rPr>
            </w:pPr>
          </w:p>
          <w:p w14:paraId="6B09BC50" w14:textId="6F8A3D20" w:rsidR="00D17FB7" w:rsidRDefault="00D17FB7" w:rsidP="004044A6">
            <w:pPr>
              <w:jc w:val="center"/>
              <w:rPr>
                <w:rFonts w:eastAsia="Arial" w:cs="Arial"/>
                <w:sz w:val="20"/>
                <w:szCs w:val="20"/>
                <w:lang w:val="es-ES"/>
              </w:rPr>
            </w:pPr>
          </w:p>
          <w:p w14:paraId="2557DC67" w14:textId="36AF24EC" w:rsidR="00D17FB7" w:rsidRDefault="00D17FB7" w:rsidP="004044A6">
            <w:pPr>
              <w:jc w:val="center"/>
              <w:rPr>
                <w:rFonts w:eastAsia="Arial" w:cs="Arial"/>
                <w:sz w:val="20"/>
                <w:szCs w:val="20"/>
                <w:lang w:val="es-ES"/>
              </w:rPr>
            </w:pPr>
          </w:p>
          <w:p w14:paraId="782852D7" w14:textId="3DFEEB88" w:rsidR="00D17FB7" w:rsidRDefault="00D17FB7" w:rsidP="004044A6">
            <w:pPr>
              <w:jc w:val="center"/>
              <w:rPr>
                <w:rFonts w:eastAsia="Arial" w:cs="Arial"/>
                <w:sz w:val="20"/>
                <w:szCs w:val="20"/>
                <w:lang w:val="es-ES"/>
              </w:rPr>
            </w:pPr>
          </w:p>
          <w:p w14:paraId="779E89C2" w14:textId="1817D103" w:rsidR="00D17FB7" w:rsidRDefault="00D17FB7" w:rsidP="004044A6">
            <w:pPr>
              <w:jc w:val="center"/>
              <w:rPr>
                <w:rFonts w:eastAsia="Arial" w:cs="Arial"/>
                <w:sz w:val="20"/>
                <w:szCs w:val="20"/>
                <w:lang w:val="es-ES"/>
              </w:rPr>
            </w:pPr>
          </w:p>
          <w:p w14:paraId="64BA2B8A" w14:textId="552549F6" w:rsidR="00D17FB7" w:rsidRDefault="00D17FB7" w:rsidP="004044A6">
            <w:pPr>
              <w:jc w:val="center"/>
              <w:rPr>
                <w:rFonts w:eastAsia="Arial" w:cs="Arial"/>
                <w:sz w:val="20"/>
                <w:szCs w:val="20"/>
                <w:lang w:val="es-ES"/>
              </w:rPr>
            </w:pPr>
          </w:p>
          <w:p w14:paraId="129353BD" w14:textId="3BC2CAAB" w:rsidR="00D17FB7" w:rsidRDefault="00D17FB7" w:rsidP="004044A6">
            <w:pPr>
              <w:jc w:val="center"/>
              <w:rPr>
                <w:rFonts w:eastAsia="Arial" w:cs="Arial"/>
                <w:sz w:val="20"/>
                <w:szCs w:val="20"/>
                <w:lang w:val="es-ES"/>
              </w:rPr>
            </w:pPr>
          </w:p>
          <w:p w14:paraId="3AE5CCFA" w14:textId="1CF557E8" w:rsidR="00D17FB7" w:rsidRDefault="00D17FB7" w:rsidP="004044A6">
            <w:pPr>
              <w:jc w:val="center"/>
              <w:rPr>
                <w:rFonts w:eastAsia="Arial" w:cs="Arial"/>
                <w:sz w:val="20"/>
                <w:szCs w:val="20"/>
                <w:lang w:val="es-ES"/>
              </w:rPr>
            </w:pPr>
          </w:p>
          <w:p w14:paraId="0B3A24E5" w14:textId="50A60EDA" w:rsidR="00D17FB7" w:rsidRDefault="00D17FB7" w:rsidP="004044A6">
            <w:pPr>
              <w:jc w:val="center"/>
              <w:rPr>
                <w:rFonts w:eastAsia="Arial" w:cs="Arial"/>
                <w:sz w:val="20"/>
                <w:szCs w:val="20"/>
                <w:lang w:val="es-ES"/>
              </w:rPr>
            </w:pPr>
          </w:p>
          <w:p w14:paraId="0D949ABD" w14:textId="1900FA76" w:rsidR="00D17FB7" w:rsidRDefault="00D17FB7" w:rsidP="004044A6">
            <w:pPr>
              <w:jc w:val="center"/>
              <w:rPr>
                <w:rFonts w:eastAsia="Arial" w:cs="Arial"/>
                <w:sz w:val="20"/>
                <w:szCs w:val="20"/>
                <w:lang w:val="es-ES"/>
              </w:rPr>
            </w:pPr>
          </w:p>
          <w:p w14:paraId="55954460" w14:textId="5A6D09F7" w:rsidR="00D17FB7" w:rsidRDefault="00D17FB7" w:rsidP="004044A6">
            <w:pPr>
              <w:jc w:val="center"/>
              <w:rPr>
                <w:rFonts w:eastAsia="Arial" w:cs="Arial"/>
                <w:sz w:val="20"/>
                <w:szCs w:val="20"/>
                <w:lang w:val="es-ES"/>
              </w:rPr>
            </w:pPr>
          </w:p>
          <w:p w14:paraId="24242292" w14:textId="34554F0C" w:rsidR="00D17FB7" w:rsidRDefault="00D17FB7" w:rsidP="004044A6">
            <w:pPr>
              <w:jc w:val="center"/>
              <w:rPr>
                <w:rFonts w:eastAsia="Arial" w:cs="Arial"/>
                <w:sz w:val="20"/>
                <w:szCs w:val="20"/>
                <w:lang w:val="es-ES"/>
              </w:rPr>
            </w:pPr>
          </w:p>
          <w:p w14:paraId="47C64498" w14:textId="77777777" w:rsidR="00A924E9" w:rsidRDefault="00A924E9" w:rsidP="004044A6">
            <w:pPr>
              <w:jc w:val="center"/>
              <w:rPr>
                <w:rFonts w:eastAsia="Arial" w:cs="Arial"/>
                <w:b w:val="0"/>
                <w:bCs w:val="0"/>
                <w:sz w:val="20"/>
                <w:szCs w:val="20"/>
                <w:lang w:val="es-ES"/>
              </w:rPr>
            </w:pPr>
          </w:p>
          <w:p w14:paraId="51FFD8FC" w14:textId="77777777" w:rsidR="00D17FB7" w:rsidRDefault="00D17FB7" w:rsidP="004044A6">
            <w:pPr>
              <w:jc w:val="center"/>
              <w:rPr>
                <w:rFonts w:eastAsia="Arial" w:cs="Arial"/>
                <w:b w:val="0"/>
                <w:bCs w:val="0"/>
                <w:sz w:val="20"/>
                <w:szCs w:val="20"/>
                <w:lang w:val="es-ES"/>
              </w:rPr>
            </w:pPr>
          </w:p>
          <w:p w14:paraId="7021BAB9" w14:textId="77777777" w:rsidR="00D17FB7" w:rsidRDefault="00D17FB7" w:rsidP="004044A6">
            <w:pPr>
              <w:jc w:val="center"/>
              <w:rPr>
                <w:rFonts w:eastAsia="Arial" w:cs="Arial"/>
                <w:b w:val="0"/>
                <w:bCs w:val="0"/>
                <w:sz w:val="20"/>
                <w:szCs w:val="20"/>
                <w:lang w:val="es-ES"/>
              </w:rPr>
            </w:pPr>
          </w:p>
          <w:p w14:paraId="62075A2B" w14:textId="5F342FFC" w:rsidR="00D17FB7" w:rsidRPr="00924154" w:rsidRDefault="00D17FB7" w:rsidP="004044A6">
            <w:pPr>
              <w:jc w:val="center"/>
              <w:rPr>
                <w:rFonts w:eastAsia="Arial" w:cs="Arial"/>
                <w:b w:val="0"/>
                <w:bCs w:val="0"/>
                <w:sz w:val="20"/>
                <w:szCs w:val="20"/>
                <w:lang w:val="es-ES"/>
              </w:rPr>
            </w:pPr>
            <w:r>
              <w:rPr>
                <w:rFonts w:eastAsia="Arial" w:cs="Arial"/>
                <w:sz w:val="20"/>
                <w:szCs w:val="20"/>
                <w:lang w:val="es-ES"/>
              </w:rPr>
              <w:t>2020</w:t>
            </w:r>
          </w:p>
          <w:p w14:paraId="385B77DC" w14:textId="77777777" w:rsidR="00D17FB7" w:rsidRDefault="00D17FB7" w:rsidP="00D514A6">
            <w:pPr>
              <w:jc w:val="center"/>
              <w:rPr>
                <w:rFonts w:eastAsia="Arial" w:cs="Arial"/>
                <w:b w:val="0"/>
                <w:bCs w:val="0"/>
                <w:sz w:val="20"/>
                <w:szCs w:val="20"/>
                <w:lang w:val="es-ES"/>
              </w:rPr>
            </w:pPr>
          </w:p>
          <w:p w14:paraId="28120A24" w14:textId="77777777" w:rsidR="00D17FB7" w:rsidRDefault="00D17FB7" w:rsidP="00D514A6">
            <w:pPr>
              <w:jc w:val="center"/>
              <w:rPr>
                <w:rFonts w:eastAsia="Arial" w:cs="Arial"/>
                <w:b w:val="0"/>
                <w:bCs w:val="0"/>
                <w:sz w:val="20"/>
                <w:szCs w:val="20"/>
                <w:lang w:val="es-ES"/>
              </w:rPr>
            </w:pPr>
          </w:p>
          <w:p w14:paraId="571BCB09" w14:textId="77777777" w:rsidR="00D17FB7" w:rsidRDefault="00D17FB7" w:rsidP="00D514A6">
            <w:pPr>
              <w:jc w:val="center"/>
              <w:rPr>
                <w:rFonts w:eastAsia="Arial" w:cs="Arial"/>
                <w:b w:val="0"/>
                <w:bCs w:val="0"/>
                <w:sz w:val="20"/>
                <w:szCs w:val="20"/>
                <w:lang w:val="es-ES"/>
              </w:rPr>
            </w:pPr>
          </w:p>
          <w:p w14:paraId="1BDDE4BA" w14:textId="68E18103" w:rsidR="00D17FB7" w:rsidRPr="00C7226B" w:rsidRDefault="00D17FB7" w:rsidP="00D17FB7">
            <w:pPr>
              <w:rPr>
                <w:rFonts w:eastAsia="Arial" w:cs="Arial"/>
                <w:b w:val="0"/>
                <w:bCs w:val="0"/>
                <w:sz w:val="20"/>
                <w:szCs w:val="20"/>
                <w:lang w:val="es-ES"/>
              </w:rPr>
            </w:pPr>
          </w:p>
        </w:tc>
        <w:tc>
          <w:tcPr>
            <w:tcW w:w="1466" w:type="dxa"/>
          </w:tcPr>
          <w:p w14:paraId="2A9C72F6" w14:textId="55D4AA8F" w:rsidR="00D17FB7" w:rsidRPr="00A37FD9" w:rsidRDefault="00D17FB7" w:rsidP="004044A6">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570A0">
              <w:rPr>
                <w:rFonts w:cs="Arial"/>
                <w:sz w:val="20"/>
              </w:rPr>
              <w:t>A.CE.20</w:t>
            </w:r>
            <w:r>
              <w:rPr>
                <w:rFonts w:cs="Arial"/>
                <w:sz w:val="20"/>
              </w:rPr>
              <w:t>20</w:t>
            </w:r>
            <w:r w:rsidRPr="00C570A0">
              <w:rPr>
                <w:rFonts w:cs="Arial"/>
                <w:sz w:val="20"/>
              </w:rPr>
              <w:t>.</w:t>
            </w:r>
            <w:r>
              <w:rPr>
                <w:rFonts w:cs="Arial"/>
                <w:sz w:val="20"/>
              </w:rPr>
              <w:t xml:space="preserve">8 </w:t>
            </w:r>
            <w:r w:rsidRPr="00C570A0">
              <w:rPr>
                <w:rFonts w:cs="Arial"/>
                <w:sz w:val="20"/>
              </w:rPr>
              <w:t xml:space="preserve">de </w:t>
            </w:r>
            <w:r>
              <w:rPr>
                <w:rFonts w:cs="Arial"/>
                <w:sz w:val="20"/>
              </w:rPr>
              <w:t>02.06.2020</w:t>
            </w:r>
          </w:p>
        </w:tc>
        <w:tc>
          <w:tcPr>
            <w:tcW w:w="2643" w:type="dxa"/>
          </w:tcPr>
          <w:p w14:paraId="4EF31478" w14:textId="4811C2A6" w:rsidR="00D17FB7" w:rsidRPr="00A37FD9" w:rsidRDefault="00D17FB7" w:rsidP="004044A6">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D14475">
              <w:rPr>
                <w:rFonts w:eastAsia="Times New Roman" w:cs="Arial"/>
                <w:sz w:val="20"/>
                <w:lang w:val="es-ES"/>
              </w:rPr>
              <w:t xml:space="preserve">Se le tiene por presentada a la Secretaría Ejecutiva la propuesta de “Pautas Metodológicas para la Integración de Investigación por </w:t>
            </w:r>
            <w:r>
              <w:rPr>
                <w:rFonts w:eastAsia="Times New Roman" w:cs="Arial"/>
                <w:sz w:val="20"/>
                <w:lang w:val="es-ES"/>
              </w:rPr>
              <w:t>P</w:t>
            </w:r>
            <w:r w:rsidRPr="00D14475">
              <w:rPr>
                <w:rFonts w:eastAsia="Times New Roman" w:cs="Arial"/>
                <w:sz w:val="20"/>
                <w:lang w:val="es-ES"/>
              </w:rPr>
              <w:t xml:space="preserve">resuntas </w:t>
            </w:r>
            <w:r>
              <w:rPr>
                <w:rFonts w:eastAsia="Times New Roman" w:cs="Arial"/>
                <w:sz w:val="20"/>
                <w:lang w:val="es-ES"/>
              </w:rPr>
              <w:t>R</w:t>
            </w:r>
            <w:r w:rsidRPr="00D14475">
              <w:rPr>
                <w:rFonts w:eastAsia="Times New Roman" w:cs="Arial"/>
                <w:sz w:val="20"/>
                <w:lang w:val="es-ES"/>
              </w:rPr>
              <w:t xml:space="preserve">esponsabilidades </w:t>
            </w:r>
            <w:r>
              <w:rPr>
                <w:rFonts w:eastAsia="Times New Roman" w:cs="Arial"/>
                <w:sz w:val="20"/>
                <w:lang w:val="es-ES"/>
              </w:rPr>
              <w:t>A</w:t>
            </w:r>
            <w:r w:rsidRPr="00D14475">
              <w:rPr>
                <w:rFonts w:eastAsia="Times New Roman" w:cs="Arial"/>
                <w:sz w:val="20"/>
                <w:lang w:val="es-ES"/>
              </w:rPr>
              <w:t>dministrativas”, mismas que serán sujetas de análisis por parte de los Integrantes de la Comisión Ejecutiva en el periodo comprendido entre el 2 y 9 de junio, en el entendido de que en caso de no presentar observaciones en dicho periodo, se tendrán por aprobadas a efectos de proponerlas al Comité Coordinador para su revisión y lo que proceda.</w:t>
            </w:r>
          </w:p>
        </w:tc>
        <w:tc>
          <w:tcPr>
            <w:tcW w:w="3969" w:type="dxa"/>
          </w:tcPr>
          <w:p w14:paraId="043D4235" w14:textId="77777777" w:rsidR="00D17FB7" w:rsidRDefault="00D17FB7" w:rsidP="004044A6">
            <w:pPr>
              <w:contextualSpacing/>
              <w:cnfStyle w:val="000000100000" w:firstRow="0" w:lastRow="0" w:firstColumn="0" w:lastColumn="0" w:oddVBand="0" w:evenVBand="0" w:oddHBand="1" w:evenHBand="0" w:firstRowFirstColumn="0" w:firstRowLastColumn="0" w:lastRowFirstColumn="0" w:lastRowLastColumn="0"/>
              <w:rPr>
                <w:rFonts w:cs="Arial"/>
                <w:sz w:val="20"/>
              </w:rPr>
            </w:pPr>
            <w:r w:rsidRPr="000A44FB">
              <w:rPr>
                <w:rFonts w:cs="Arial"/>
                <w:sz w:val="20"/>
              </w:rPr>
              <w:t>En proceso</w:t>
            </w:r>
          </w:p>
          <w:p w14:paraId="3D21AADE" w14:textId="77777777" w:rsidR="00D17FB7" w:rsidRDefault="00D17FB7" w:rsidP="00EC6B98">
            <w:pPr>
              <w:pStyle w:val="Prrafodelista"/>
              <w:numPr>
                <w:ilvl w:val="0"/>
                <w:numId w:val="6"/>
              </w:numPr>
              <w:ind w:left="314" w:hanging="283"/>
              <w:contextualSpacing/>
              <w:jc w:val="both"/>
              <w:cnfStyle w:val="000000100000" w:firstRow="0" w:lastRow="0" w:firstColumn="0" w:lastColumn="0" w:oddVBand="0" w:evenVBand="0" w:oddHBand="1" w:evenHBand="0" w:firstRowFirstColumn="0" w:firstRowLastColumn="0" w:lastRowFirstColumn="0" w:lastRowLastColumn="0"/>
              <w:rPr>
                <w:rFonts w:cs="Arial"/>
                <w:sz w:val="20"/>
              </w:rPr>
            </w:pPr>
            <w:r w:rsidRPr="0016083F">
              <w:rPr>
                <w:rFonts w:cs="Arial"/>
                <w:sz w:val="20"/>
              </w:rPr>
              <w:t>El 10 de agosto de 2020 se presentaron para conocimiento del Comité Coordinador las Pautas Metodológicas para la integración del Informe de Presuntas</w:t>
            </w:r>
            <w:r>
              <w:rPr>
                <w:rFonts w:cs="Arial"/>
                <w:sz w:val="20"/>
              </w:rPr>
              <w:t xml:space="preserve"> </w:t>
            </w:r>
            <w:r w:rsidRPr="0016083F">
              <w:rPr>
                <w:rFonts w:cs="Arial"/>
                <w:sz w:val="20"/>
              </w:rPr>
              <w:t>Responsabilidades Administrativas y por Hechos de Corrupción.</w:t>
            </w:r>
          </w:p>
          <w:p w14:paraId="3E44B500" w14:textId="77777777" w:rsidR="00D17FB7" w:rsidRDefault="00D17FB7" w:rsidP="00EC6B98">
            <w:pPr>
              <w:pStyle w:val="Prrafodelista"/>
              <w:numPr>
                <w:ilvl w:val="0"/>
                <w:numId w:val="6"/>
              </w:numPr>
              <w:ind w:left="314" w:hanging="283"/>
              <w:contextualSpacing/>
              <w:jc w:val="both"/>
              <w:cnfStyle w:val="000000100000" w:firstRow="0" w:lastRow="0" w:firstColumn="0" w:lastColumn="0" w:oddVBand="0" w:evenVBand="0" w:oddHBand="1" w:evenHBand="0" w:firstRowFirstColumn="0" w:firstRowLastColumn="0" w:lastRowFirstColumn="0" w:lastRowLastColumn="0"/>
              <w:rPr>
                <w:rFonts w:cs="Arial"/>
                <w:sz w:val="20"/>
              </w:rPr>
            </w:pPr>
            <w:r w:rsidRPr="0016083F">
              <w:rPr>
                <w:rFonts w:cs="Arial"/>
                <w:sz w:val="20"/>
              </w:rPr>
              <w:t xml:space="preserve">Las </w:t>
            </w:r>
            <w:r>
              <w:rPr>
                <w:rFonts w:cs="Arial"/>
                <w:sz w:val="20"/>
              </w:rPr>
              <w:t>p</w:t>
            </w:r>
            <w:r w:rsidRPr="0016083F">
              <w:rPr>
                <w:rFonts w:cs="Arial"/>
                <w:sz w:val="20"/>
              </w:rPr>
              <w:t xml:space="preserve">autas han sido tomadas como base para el diseño del </w:t>
            </w:r>
            <w:r>
              <w:rPr>
                <w:rFonts w:cs="Arial"/>
                <w:sz w:val="20"/>
              </w:rPr>
              <w:t>t</w:t>
            </w:r>
            <w:r w:rsidRPr="0016083F">
              <w:rPr>
                <w:rFonts w:cs="Arial"/>
                <w:sz w:val="20"/>
              </w:rPr>
              <w:t>utorial por parte del área de Desarrollo de Capacidades, el cual podrá ser probado durante el mes de octubre.</w:t>
            </w:r>
          </w:p>
          <w:p w14:paraId="5E6515E9" w14:textId="0ED28BAA" w:rsidR="00D17FB7" w:rsidRPr="00CB7DBD" w:rsidRDefault="00D17FB7" w:rsidP="00EC6B98">
            <w:pPr>
              <w:pStyle w:val="Prrafodelista"/>
              <w:numPr>
                <w:ilvl w:val="0"/>
                <w:numId w:val="6"/>
              </w:numPr>
              <w:ind w:left="314" w:hanging="283"/>
              <w:contextualSpacing/>
              <w:jc w:val="both"/>
              <w:cnfStyle w:val="000000100000" w:firstRow="0" w:lastRow="0" w:firstColumn="0" w:lastColumn="0" w:oddVBand="0" w:evenVBand="0" w:oddHBand="1" w:evenHBand="0" w:firstRowFirstColumn="0" w:firstRowLastColumn="0" w:lastRowFirstColumn="0" w:lastRowLastColumn="0"/>
              <w:rPr>
                <w:rFonts w:cs="Arial"/>
                <w:sz w:val="20"/>
              </w:rPr>
            </w:pPr>
            <w:r w:rsidRPr="00CB7DBD">
              <w:rPr>
                <w:rFonts w:cs="Arial"/>
                <w:sz w:val="20"/>
              </w:rPr>
              <w:t>Contraloría del Estado continúa en colaboración para asegurar la comprensión del proceso por parte de quienes son responsables de la integración de los IPRA.</w:t>
            </w:r>
          </w:p>
        </w:tc>
      </w:tr>
      <w:tr w:rsidR="00D17FB7" w14:paraId="7F0DCEDC"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7D25C6ED" w14:textId="77777777" w:rsidR="00D17FB7" w:rsidRDefault="00D17FB7" w:rsidP="00D514A6">
            <w:pPr>
              <w:jc w:val="center"/>
              <w:rPr>
                <w:rFonts w:eastAsia="Arial" w:cs="Arial"/>
                <w:b w:val="0"/>
                <w:bCs w:val="0"/>
                <w:sz w:val="20"/>
                <w:szCs w:val="20"/>
                <w:lang w:val="es-ES"/>
              </w:rPr>
            </w:pPr>
          </w:p>
        </w:tc>
        <w:tc>
          <w:tcPr>
            <w:tcW w:w="1466" w:type="dxa"/>
          </w:tcPr>
          <w:p w14:paraId="2D4D6663" w14:textId="2ADFE913" w:rsidR="00D17FB7" w:rsidRDefault="00D17FB7" w:rsidP="00CB7DBD">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570A0">
              <w:rPr>
                <w:rFonts w:cs="Arial"/>
                <w:sz w:val="20"/>
              </w:rPr>
              <w:t>A.CE.20</w:t>
            </w:r>
            <w:r>
              <w:rPr>
                <w:rFonts w:cs="Arial"/>
                <w:sz w:val="20"/>
              </w:rPr>
              <w:t>20</w:t>
            </w:r>
            <w:r w:rsidRPr="00C570A0">
              <w:rPr>
                <w:rFonts w:cs="Arial"/>
                <w:sz w:val="20"/>
              </w:rPr>
              <w:t>.</w:t>
            </w:r>
            <w:r>
              <w:rPr>
                <w:rFonts w:cs="Arial"/>
                <w:sz w:val="20"/>
              </w:rPr>
              <w:t xml:space="preserve">11 </w:t>
            </w:r>
            <w:r w:rsidRPr="00C570A0">
              <w:rPr>
                <w:rFonts w:cs="Arial"/>
                <w:sz w:val="20"/>
              </w:rPr>
              <w:t xml:space="preserve">de </w:t>
            </w:r>
            <w:r>
              <w:rPr>
                <w:rFonts w:cs="Arial"/>
                <w:sz w:val="20"/>
              </w:rPr>
              <w:t>02.06.2020</w:t>
            </w:r>
          </w:p>
        </w:tc>
        <w:tc>
          <w:tcPr>
            <w:tcW w:w="2643" w:type="dxa"/>
          </w:tcPr>
          <w:p w14:paraId="0D5DBA36" w14:textId="146F41F3" w:rsidR="00D17FB7" w:rsidRDefault="00D17FB7" w:rsidP="00CB7DBD">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AC6BCE">
              <w:rPr>
                <w:rFonts w:eastAsia="Times New Roman" w:cs="Arial"/>
                <w:sz w:val="20"/>
                <w:lang w:val="es-ES"/>
              </w:rPr>
              <w:t>Se aprueba el Plan Maestro para el desarrollo del Sistema Electrónico de Quejas y Denuncias presentado por la Secretaría Ejecutiva del Sistema Estatal Anticorrupción de Jalisco, para efectos de proponerle en su oportunidad al Comité Coordinador, para su análisis y</w:t>
            </w:r>
            <w:r>
              <w:rPr>
                <w:rFonts w:eastAsia="Times New Roman" w:cs="Arial"/>
                <w:sz w:val="20"/>
                <w:lang w:val="es-ES"/>
              </w:rPr>
              <w:t>,</w:t>
            </w:r>
            <w:r w:rsidRPr="00AC6BCE">
              <w:rPr>
                <w:rFonts w:eastAsia="Times New Roman" w:cs="Arial"/>
                <w:sz w:val="20"/>
                <w:lang w:val="es-ES"/>
              </w:rPr>
              <w:t xml:space="preserve"> en su caso</w:t>
            </w:r>
            <w:r>
              <w:rPr>
                <w:rFonts w:eastAsia="Times New Roman" w:cs="Arial"/>
                <w:sz w:val="20"/>
                <w:lang w:val="es-ES"/>
              </w:rPr>
              <w:t>,</w:t>
            </w:r>
            <w:r w:rsidRPr="00AC6BCE">
              <w:rPr>
                <w:rFonts w:eastAsia="Times New Roman" w:cs="Arial"/>
                <w:sz w:val="20"/>
                <w:lang w:val="es-ES"/>
              </w:rPr>
              <w:t xml:space="preserve"> aprobación.</w:t>
            </w:r>
          </w:p>
        </w:tc>
        <w:tc>
          <w:tcPr>
            <w:tcW w:w="3969" w:type="dxa"/>
          </w:tcPr>
          <w:p w14:paraId="72EE580F" w14:textId="77777777" w:rsidR="00D17FB7" w:rsidRPr="000A44FB" w:rsidRDefault="00D17FB7" w:rsidP="00CB7DBD">
            <w:pPr>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0A44FB">
              <w:rPr>
                <w:rFonts w:cs="Arial"/>
                <w:sz w:val="20"/>
              </w:rPr>
              <w:t>En proceso</w:t>
            </w:r>
          </w:p>
          <w:p w14:paraId="3CB53268" w14:textId="77777777" w:rsidR="00D17FB7" w:rsidRDefault="00D17FB7" w:rsidP="00EC6B98">
            <w:pPr>
              <w:pStyle w:val="Prrafodelista"/>
              <w:numPr>
                <w:ilvl w:val="0"/>
                <w:numId w:val="9"/>
              </w:numPr>
              <w:ind w:left="172" w:right="175" w:hanging="141"/>
              <w:contextualSpacing/>
              <w:jc w:val="both"/>
              <w:cnfStyle w:val="000000000000" w:firstRow="0" w:lastRow="0" w:firstColumn="0" w:lastColumn="0" w:oddVBand="0" w:evenVBand="0" w:oddHBand="0" w:evenHBand="0" w:firstRowFirstColumn="0" w:firstRowLastColumn="0" w:lastRowFirstColumn="0" w:lastRowLastColumn="0"/>
              <w:rPr>
                <w:rFonts w:cs="Arial"/>
                <w:sz w:val="20"/>
              </w:rPr>
            </w:pPr>
            <w:r w:rsidRPr="00447FD4">
              <w:rPr>
                <w:rFonts w:cs="Arial"/>
                <w:sz w:val="20"/>
              </w:rPr>
              <w:t xml:space="preserve">Se realizó una revisión de la guía para denunciar hechos de corrupción y faltas administrativas en Jalisco. </w:t>
            </w:r>
          </w:p>
          <w:p w14:paraId="0E5B9C79" w14:textId="77777777" w:rsidR="00D17FB7" w:rsidRDefault="00D17FB7" w:rsidP="00EC6B98">
            <w:pPr>
              <w:pStyle w:val="Prrafodelista"/>
              <w:numPr>
                <w:ilvl w:val="0"/>
                <w:numId w:val="9"/>
              </w:numPr>
              <w:ind w:left="172" w:right="175" w:hanging="141"/>
              <w:contextualSpacing/>
              <w:jc w:val="both"/>
              <w:cnfStyle w:val="000000000000" w:firstRow="0" w:lastRow="0" w:firstColumn="0" w:lastColumn="0" w:oddVBand="0" w:evenVBand="0" w:oddHBand="0" w:evenHBand="0" w:firstRowFirstColumn="0" w:firstRowLastColumn="0" w:lastRowFirstColumn="0" w:lastRowLastColumn="0"/>
              <w:rPr>
                <w:rFonts w:cs="Arial"/>
                <w:sz w:val="20"/>
              </w:rPr>
            </w:pPr>
            <w:r w:rsidRPr="00447FD4">
              <w:rPr>
                <w:rFonts w:cs="Arial"/>
                <w:sz w:val="20"/>
              </w:rPr>
              <w:t xml:space="preserve">Se identificaron los actores involucrados en el proceso para la definición de casos de uso del sistema. </w:t>
            </w:r>
          </w:p>
          <w:p w14:paraId="6B8E7584" w14:textId="77777777" w:rsidR="00D17FB7" w:rsidRDefault="00D17FB7" w:rsidP="00EC6B98">
            <w:pPr>
              <w:pStyle w:val="Prrafodelista"/>
              <w:numPr>
                <w:ilvl w:val="0"/>
                <w:numId w:val="9"/>
              </w:numPr>
              <w:ind w:left="172" w:right="175" w:hanging="141"/>
              <w:contextualSpacing/>
              <w:jc w:val="both"/>
              <w:cnfStyle w:val="000000000000" w:firstRow="0" w:lastRow="0" w:firstColumn="0" w:lastColumn="0" w:oddVBand="0" w:evenVBand="0" w:oddHBand="0" w:evenHBand="0" w:firstRowFirstColumn="0" w:firstRowLastColumn="0" w:lastRowFirstColumn="0" w:lastRowLastColumn="0"/>
              <w:rPr>
                <w:rFonts w:cs="Arial"/>
                <w:sz w:val="20"/>
              </w:rPr>
            </w:pPr>
            <w:r w:rsidRPr="00447FD4">
              <w:rPr>
                <w:rFonts w:cs="Arial"/>
                <w:sz w:val="20"/>
              </w:rPr>
              <w:t xml:space="preserve">Se realizó un estudio tipo </w:t>
            </w:r>
            <w:r w:rsidRPr="00CC484C">
              <w:rPr>
                <w:rFonts w:cs="Arial"/>
                <w:i/>
                <w:iCs/>
                <w:sz w:val="20"/>
              </w:rPr>
              <w:t>benchmarking</w:t>
            </w:r>
            <w:r w:rsidRPr="00447FD4">
              <w:rPr>
                <w:rFonts w:cs="Arial"/>
                <w:sz w:val="20"/>
              </w:rPr>
              <w:t xml:space="preserve"> de otros sistemas </w:t>
            </w:r>
            <w:r>
              <w:rPr>
                <w:rFonts w:cs="Arial"/>
                <w:sz w:val="20"/>
              </w:rPr>
              <w:t>de denuncias,</w:t>
            </w:r>
            <w:r w:rsidRPr="00447FD4">
              <w:rPr>
                <w:rFonts w:cs="Arial"/>
                <w:sz w:val="20"/>
              </w:rPr>
              <w:t xml:space="preserve"> que abarcó 19 casos, de los cuales 10 son internacionales y 9 a nivel nacional, el cual se considera para definir una primera propuesta de funcionamiento general del SEQD.</w:t>
            </w:r>
          </w:p>
          <w:p w14:paraId="533F458F" w14:textId="77777777" w:rsidR="00D17FB7" w:rsidRDefault="00D17FB7" w:rsidP="00EC6B98">
            <w:pPr>
              <w:pStyle w:val="Prrafodelista"/>
              <w:numPr>
                <w:ilvl w:val="0"/>
                <w:numId w:val="9"/>
              </w:numPr>
              <w:ind w:left="172" w:right="175" w:hanging="141"/>
              <w:contextualSpacing/>
              <w:jc w:val="both"/>
              <w:cnfStyle w:val="000000000000" w:firstRow="0" w:lastRow="0" w:firstColumn="0" w:lastColumn="0" w:oddVBand="0" w:evenVBand="0" w:oddHBand="0" w:evenHBand="0" w:firstRowFirstColumn="0" w:firstRowLastColumn="0" w:lastRowFirstColumn="0" w:lastRowLastColumn="0"/>
              <w:rPr>
                <w:rFonts w:cs="Arial"/>
                <w:sz w:val="20"/>
              </w:rPr>
            </w:pPr>
            <w:r w:rsidRPr="00447FD4">
              <w:rPr>
                <w:rFonts w:cs="Arial"/>
                <w:sz w:val="20"/>
              </w:rPr>
              <w:t>Se estableció comunicación con el equipo de la PDN para verificar el estado que guarda el estándar de datos que será empleado para el desarrollo del S5, relativo a las denuncias por faltas administrativas y hechos de corrupción</w:t>
            </w:r>
            <w:r>
              <w:rPr>
                <w:rFonts w:cs="Arial"/>
                <w:sz w:val="20"/>
              </w:rPr>
              <w:t>,</w:t>
            </w:r>
            <w:r w:rsidRPr="00447FD4">
              <w:rPr>
                <w:rFonts w:cs="Arial"/>
                <w:sz w:val="20"/>
              </w:rPr>
              <w:t xml:space="preserve"> el cual aún no se encuentra en desarrollo.</w:t>
            </w:r>
          </w:p>
          <w:p w14:paraId="5FBD5FB7" w14:textId="3D5C5B7C" w:rsidR="00D17FB7" w:rsidRPr="00740F07" w:rsidRDefault="00D17FB7" w:rsidP="00EC6B98">
            <w:pPr>
              <w:numPr>
                <w:ilvl w:val="0"/>
                <w:numId w:val="4"/>
              </w:numPr>
              <w:pBdr>
                <w:top w:val="nil"/>
                <w:left w:val="nil"/>
                <w:bottom w:val="nil"/>
                <w:right w:val="nil"/>
                <w:between w:val="nil"/>
              </w:pBdr>
              <w:ind w:left="179" w:hanging="179"/>
              <w:cnfStyle w:val="000000000000" w:firstRow="0" w:lastRow="0" w:firstColumn="0" w:lastColumn="0" w:oddVBand="0" w:evenVBand="0" w:oddHBand="0" w:evenHBand="0" w:firstRowFirstColumn="0" w:firstRowLastColumn="0" w:lastRowFirstColumn="0" w:lastRowLastColumn="0"/>
              <w:rPr>
                <w:color w:val="000000"/>
                <w:sz w:val="20"/>
                <w:szCs w:val="20"/>
              </w:rPr>
            </w:pPr>
            <w:r w:rsidRPr="0016083F">
              <w:rPr>
                <w:rFonts w:cs="Arial"/>
                <w:sz w:val="20"/>
              </w:rPr>
              <w:t>Actualmente se trabaja en el modelado de los procesos de atención de quejas y denuncias, para establecer la lógica de funcionamiento del SEQD.</w:t>
            </w:r>
          </w:p>
        </w:tc>
      </w:tr>
      <w:tr w:rsidR="001D465C" w14:paraId="0D8A873B"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665B4CED" w14:textId="77777777" w:rsidR="001D465C" w:rsidRDefault="001D465C" w:rsidP="001D465C">
            <w:pPr>
              <w:jc w:val="center"/>
              <w:rPr>
                <w:rFonts w:eastAsia="Arial" w:cs="Arial"/>
                <w:b w:val="0"/>
                <w:bCs w:val="0"/>
                <w:sz w:val="20"/>
                <w:szCs w:val="20"/>
                <w:lang w:val="es-ES"/>
              </w:rPr>
            </w:pPr>
          </w:p>
          <w:p w14:paraId="22E81786" w14:textId="77777777" w:rsidR="001D465C" w:rsidRDefault="001D465C" w:rsidP="001D465C">
            <w:pPr>
              <w:jc w:val="center"/>
              <w:rPr>
                <w:rFonts w:eastAsia="Arial" w:cs="Arial"/>
                <w:b w:val="0"/>
                <w:bCs w:val="0"/>
                <w:sz w:val="20"/>
                <w:szCs w:val="20"/>
                <w:lang w:val="es-ES"/>
              </w:rPr>
            </w:pPr>
          </w:p>
          <w:p w14:paraId="420AF739" w14:textId="77777777" w:rsidR="001D465C" w:rsidRDefault="001D465C" w:rsidP="001D465C">
            <w:pPr>
              <w:jc w:val="center"/>
              <w:rPr>
                <w:rFonts w:eastAsia="Arial" w:cs="Arial"/>
                <w:b w:val="0"/>
                <w:bCs w:val="0"/>
                <w:sz w:val="20"/>
                <w:szCs w:val="20"/>
                <w:lang w:val="es-ES"/>
              </w:rPr>
            </w:pPr>
          </w:p>
          <w:p w14:paraId="5B7C669B" w14:textId="77777777" w:rsidR="001D465C" w:rsidRDefault="001D465C" w:rsidP="001D465C">
            <w:pPr>
              <w:jc w:val="center"/>
              <w:rPr>
                <w:rFonts w:eastAsia="Arial" w:cs="Arial"/>
                <w:b w:val="0"/>
                <w:bCs w:val="0"/>
                <w:sz w:val="20"/>
                <w:szCs w:val="20"/>
                <w:lang w:val="es-ES"/>
              </w:rPr>
            </w:pPr>
          </w:p>
          <w:p w14:paraId="1B6FD754" w14:textId="77777777" w:rsidR="001D465C" w:rsidRDefault="001D465C" w:rsidP="001D465C">
            <w:pPr>
              <w:jc w:val="center"/>
              <w:rPr>
                <w:rFonts w:eastAsia="Arial" w:cs="Arial"/>
                <w:b w:val="0"/>
                <w:bCs w:val="0"/>
                <w:sz w:val="20"/>
                <w:szCs w:val="20"/>
                <w:lang w:val="es-ES"/>
              </w:rPr>
            </w:pPr>
          </w:p>
          <w:p w14:paraId="3B7B0229" w14:textId="77777777" w:rsidR="001D465C" w:rsidRDefault="001D465C" w:rsidP="001D465C">
            <w:pPr>
              <w:jc w:val="center"/>
              <w:rPr>
                <w:rFonts w:eastAsia="Arial" w:cs="Arial"/>
                <w:b w:val="0"/>
                <w:bCs w:val="0"/>
                <w:sz w:val="20"/>
                <w:szCs w:val="20"/>
                <w:lang w:val="es-ES"/>
              </w:rPr>
            </w:pPr>
          </w:p>
          <w:p w14:paraId="423F9396" w14:textId="77777777" w:rsidR="001D465C" w:rsidRDefault="001D465C" w:rsidP="001D465C">
            <w:pPr>
              <w:jc w:val="center"/>
              <w:rPr>
                <w:rFonts w:eastAsia="Arial" w:cs="Arial"/>
                <w:b w:val="0"/>
                <w:bCs w:val="0"/>
                <w:sz w:val="20"/>
                <w:szCs w:val="20"/>
                <w:lang w:val="es-ES"/>
              </w:rPr>
            </w:pPr>
          </w:p>
          <w:p w14:paraId="537CD8B5" w14:textId="77777777" w:rsidR="001D465C" w:rsidRDefault="001D465C" w:rsidP="001D465C">
            <w:pPr>
              <w:jc w:val="center"/>
              <w:rPr>
                <w:rFonts w:eastAsia="Arial" w:cs="Arial"/>
                <w:b w:val="0"/>
                <w:bCs w:val="0"/>
                <w:sz w:val="20"/>
                <w:szCs w:val="20"/>
                <w:lang w:val="es-ES"/>
              </w:rPr>
            </w:pPr>
          </w:p>
          <w:p w14:paraId="4B4181AE" w14:textId="6C084BC1" w:rsidR="001D465C" w:rsidRDefault="001D465C" w:rsidP="001D465C">
            <w:pPr>
              <w:jc w:val="center"/>
              <w:rPr>
                <w:rFonts w:eastAsia="Arial" w:cs="Arial"/>
                <w:sz w:val="20"/>
                <w:szCs w:val="20"/>
                <w:lang w:val="es-ES"/>
              </w:rPr>
            </w:pPr>
          </w:p>
          <w:p w14:paraId="154F1750" w14:textId="163E16A1" w:rsidR="001D465C" w:rsidRDefault="001D465C" w:rsidP="001D465C">
            <w:pPr>
              <w:jc w:val="center"/>
              <w:rPr>
                <w:rFonts w:eastAsia="Arial" w:cs="Arial"/>
                <w:sz w:val="20"/>
                <w:szCs w:val="20"/>
                <w:lang w:val="es-ES"/>
              </w:rPr>
            </w:pPr>
          </w:p>
          <w:p w14:paraId="66F6EBAA" w14:textId="29BBB60C" w:rsidR="001D465C" w:rsidRDefault="001D465C" w:rsidP="001D465C">
            <w:pPr>
              <w:jc w:val="center"/>
              <w:rPr>
                <w:rFonts w:eastAsia="Arial" w:cs="Arial"/>
                <w:sz w:val="20"/>
                <w:szCs w:val="20"/>
                <w:lang w:val="es-ES"/>
              </w:rPr>
            </w:pPr>
          </w:p>
          <w:p w14:paraId="2143A34F" w14:textId="3ADCC2F9" w:rsidR="001D465C" w:rsidRDefault="001D465C" w:rsidP="001D465C">
            <w:pPr>
              <w:jc w:val="center"/>
              <w:rPr>
                <w:rFonts w:eastAsia="Arial" w:cs="Arial"/>
                <w:sz w:val="20"/>
                <w:szCs w:val="20"/>
                <w:lang w:val="es-ES"/>
              </w:rPr>
            </w:pPr>
          </w:p>
          <w:p w14:paraId="4230A9EA" w14:textId="5FF35F95" w:rsidR="001D465C" w:rsidRDefault="001D465C" w:rsidP="001D465C">
            <w:pPr>
              <w:jc w:val="center"/>
              <w:rPr>
                <w:rFonts w:eastAsia="Arial" w:cs="Arial"/>
                <w:sz w:val="20"/>
                <w:szCs w:val="20"/>
                <w:lang w:val="es-ES"/>
              </w:rPr>
            </w:pPr>
          </w:p>
          <w:p w14:paraId="16A6AE59" w14:textId="137B504C" w:rsidR="001D465C" w:rsidRDefault="001D465C" w:rsidP="001D465C">
            <w:pPr>
              <w:jc w:val="center"/>
              <w:rPr>
                <w:rFonts w:eastAsia="Arial" w:cs="Arial"/>
                <w:sz w:val="20"/>
                <w:szCs w:val="20"/>
                <w:lang w:val="es-ES"/>
              </w:rPr>
            </w:pPr>
          </w:p>
          <w:p w14:paraId="7CC41D6A" w14:textId="0AA9795A" w:rsidR="001D465C" w:rsidRDefault="001D465C" w:rsidP="001D465C">
            <w:pPr>
              <w:jc w:val="center"/>
              <w:rPr>
                <w:rFonts w:eastAsia="Arial" w:cs="Arial"/>
                <w:sz w:val="20"/>
                <w:szCs w:val="20"/>
                <w:lang w:val="es-ES"/>
              </w:rPr>
            </w:pPr>
          </w:p>
          <w:p w14:paraId="22A11F54" w14:textId="1A3BA4BF" w:rsidR="001D465C" w:rsidRDefault="001D465C" w:rsidP="001D465C">
            <w:pPr>
              <w:jc w:val="center"/>
              <w:rPr>
                <w:rFonts w:eastAsia="Arial" w:cs="Arial"/>
                <w:sz w:val="20"/>
                <w:szCs w:val="20"/>
                <w:lang w:val="es-ES"/>
              </w:rPr>
            </w:pPr>
          </w:p>
          <w:p w14:paraId="7D2BF4F2" w14:textId="77777777" w:rsidR="001D465C" w:rsidRDefault="001D465C" w:rsidP="001D465C">
            <w:pPr>
              <w:jc w:val="center"/>
              <w:rPr>
                <w:rFonts w:eastAsia="Arial" w:cs="Arial"/>
                <w:b w:val="0"/>
                <w:bCs w:val="0"/>
                <w:sz w:val="20"/>
                <w:szCs w:val="20"/>
                <w:lang w:val="es-ES"/>
              </w:rPr>
            </w:pPr>
          </w:p>
          <w:p w14:paraId="708DAC15" w14:textId="77777777" w:rsidR="001D465C" w:rsidRDefault="001D465C" w:rsidP="001D465C">
            <w:pPr>
              <w:jc w:val="center"/>
              <w:rPr>
                <w:rFonts w:eastAsia="Arial" w:cs="Arial"/>
                <w:b w:val="0"/>
                <w:bCs w:val="0"/>
                <w:sz w:val="20"/>
                <w:szCs w:val="20"/>
                <w:lang w:val="es-ES"/>
              </w:rPr>
            </w:pPr>
          </w:p>
          <w:p w14:paraId="1F1C8D02" w14:textId="77777777" w:rsidR="001D465C" w:rsidRDefault="001D465C" w:rsidP="001D465C">
            <w:pPr>
              <w:jc w:val="center"/>
              <w:rPr>
                <w:rFonts w:eastAsia="Arial" w:cs="Arial"/>
                <w:b w:val="0"/>
                <w:bCs w:val="0"/>
                <w:sz w:val="20"/>
                <w:szCs w:val="20"/>
                <w:lang w:val="es-ES"/>
              </w:rPr>
            </w:pPr>
          </w:p>
          <w:p w14:paraId="00E3F0B4" w14:textId="060F96E5" w:rsidR="001D465C" w:rsidRPr="00924154" w:rsidRDefault="001D465C" w:rsidP="001D465C">
            <w:pPr>
              <w:jc w:val="center"/>
              <w:rPr>
                <w:rFonts w:eastAsia="Arial" w:cs="Arial"/>
                <w:b w:val="0"/>
                <w:bCs w:val="0"/>
                <w:sz w:val="20"/>
                <w:szCs w:val="20"/>
                <w:lang w:val="es-ES"/>
              </w:rPr>
            </w:pPr>
            <w:r>
              <w:rPr>
                <w:rFonts w:eastAsia="Arial" w:cs="Arial"/>
                <w:sz w:val="20"/>
                <w:szCs w:val="20"/>
                <w:lang w:val="es-ES"/>
              </w:rPr>
              <w:t>2020</w:t>
            </w:r>
          </w:p>
          <w:p w14:paraId="4AB43375" w14:textId="77777777" w:rsidR="001D465C" w:rsidRDefault="001D465C" w:rsidP="00C22745">
            <w:pPr>
              <w:jc w:val="center"/>
              <w:rPr>
                <w:rFonts w:eastAsia="Arial" w:cs="Arial"/>
                <w:b w:val="0"/>
                <w:bCs w:val="0"/>
                <w:sz w:val="20"/>
                <w:szCs w:val="20"/>
                <w:lang w:val="es-ES"/>
              </w:rPr>
            </w:pPr>
          </w:p>
          <w:p w14:paraId="7E26FB52" w14:textId="77777777" w:rsidR="001D465C" w:rsidRDefault="001D465C" w:rsidP="00C22745">
            <w:pPr>
              <w:jc w:val="center"/>
              <w:rPr>
                <w:rFonts w:eastAsia="Arial" w:cs="Arial"/>
                <w:b w:val="0"/>
                <w:bCs w:val="0"/>
                <w:sz w:val="20"/>
                <w:szCs w:val="20"/>
                <w:lang w:val="es-ES"/>
              </w:rPr>
            </w:pPr>
          </w:p>
          <w:p w14:paraId="3884879A" w14:textId="77777777" w:rsidR="001D465C" w:rsidRDefault="001D465C" w:rsidP="00C22745">
            <w:pPr>
              <w:jc w:val="center"/>
              <w:rPr>
                <w:rFonts w:eastAsia="Arial" w:cs="Arial"/>
                <w:b w:val="0"/>
                <w:bCs w:val="0"/>
                <w:sz w:val="20"/>
                <w:szCs w:val="20"/>
                <w:lang w:val="es-ES"/>
              </w:rPr>
            </w:pPr>
          </w:p>
          <w:p w14:paraId="4F5300E0" w14:textId="77777777" w:rsidR="001D465C" w:rsidRDefault="001D465C" w:rsidP="00C22745">
            <w:pPr>
              <w:jc w:val="center"/>
              <w:rPr>
                <w:rFonts w:eastAsia="Arial" w:cs="Arial"/>
                <w:b w:val="0"/>
                <w:bCs w:val="0"/>
                <w:sz w:val="20"/>
                <w:szCs w:val="20"/>
                <w:lang w:val="es-ES"/>
              </w:rPr>
            </w:pPr>
          </w:p>
          <w:p w14:paraId="3E557AB9" w14:textId="77777777" w:rsidR="001D465C" w:rsidRDefault="001D465C" w:rsidP="00C22745">
            <w:pPr>
              <w:jc w:val="center"/>
              <w:rPr>
                <w:rFonts w:eastAsia="Arial" w:cs="Arial"/>
                <w:b w:val="0"/>
                <w:bCs w:val="0"/>
                <w:sz w:val="20"/>
                <w:szCs w:val="20"/>
                <w:lang w:val="es-ES"/>
              </w:rPr>
            </w:pPr>
          </w:p>
          <w:p w14:paraId="7051F3E1" w14:textId="77777777" w:rsidR="001D465C" w:rsidRDefault="001D465C" w:rsidP="00C22745">
            <w:pPr>
              <w:jc w:val="center"/>
              <w:rPr>
                <w:rFonts w:eastAsia="Arial" w:cs="Arial"/>
                <w:b w:val="0"/>
                <w:bCs w:val="0"/>
                <w:sz w:val="20"/>
                <w:szCs w:val="20"/>
                <w:lang w:val="es-ES"/>
              </w:rPr>
            </w:pPr>
          </w:p>
          <w:p w14:paraId="1305F56E" w14:textId="77777777" w:rsidR="001D465C" w:rsidRDefault="001D465C" w:rsidP="00C22745">
            <w:pPr>
              <w:jc w:val="center"/>
              <w:rPr>
                <w:rFonts w:eastAsia="Arial" w:cs="Arial"/>
                <w:b w:val="0"/>
                <w:bCs w:val="0"/>
                <w:sz w:val="20"/>
                <w:szCs w:val="20"/>
                <w:lang w:val="es-ES"/>
              </w:rPr>
            </w:pPr>
          </w:p>
          <w:p w14:paraId="66A525A5" w14:textId="77777777" w:rsidR="001D465C" w:rsidRDefault="001D465C" w:rsidP="00C22745">
            <w:pPr>
              <w:jc w:val="center"/>
              <w:rPr>
                <w:rFonts w:eastAsia="Arial" w:cs="Arial"/>
                <w:b w:val="0"/>
                <w:bCs w:val="0"/>
                <w:sz w:val="20"/>
                <w:szCs w:val="20"/>
                <w:lang w:val="es-ES"/>
              </w:rPr>
            </w:pPr>
          </w:p>
          <w:p w14:paraId="68A21CFB" w14:textId="77777777" w:rsidR="001D465C" w:rsidRDefault="001D465C" w:rsidP="00C22745">
            <w:pPr>
              <w:jc w:val="center"/>
              <w:rPr>
                <w:rFonts w:eastAsia="Arial" w:cs="Arial"/>
                <w:b w:val="0"/>
                <w:bCs w:val="0"/>
                <w:sz w:val="20"/>
                <w:szCs w:val="20"/>
                <w:lang w:val="es-ES"/>
              </w:rPr>
            </w:pPr>
          </w:p>
          <w:p w14:paraId="2E3EB48F" w14:textId="77777777" w:rsidR="001D465C" w:rsidRDefault="001D465C" w:rsidP="00C22745">
            <w:pPr>
              <w:jc w:val="center"/>
              <w:rPr>
                <w:rFonts w:eastAsia="Arial" w:cs="Arial"/>
                <w:b w:val="0"/>
                <w:bCs w:val="0"/>
                <w:sz w:val="20"/>
                <w:szCs w:val="20"/>
                <w:lang w:val="es-ES"/>
              </w:rPr>
            </w:pPr>
          </w:p>
          <w:p w14:paraId="36A19097" w14:textId="77777777" w:rsidR="001D465C" w:rsidRDefault="001D465C" w:rsidP="00C22745">
            <w:pPr>
              <w:jc w:val="center"/>
              <w:rPr>
                <w:rFonts w:eastAsia="Arial" w:cs="Arial"/>
                <w:b w:val="0"/>
                <w:bCs w:val="0"/>
                <w:sz w:val="20"/>
                <w:szCs w:val="20"/>
                <w:lang w:val="es-ES"/>
              </w:rPr>
            </w:pPr>
          </w:p>
          <w:p w14:paraId="6F34C4FF" w14:textId="77777777" w:rsidR="001D465C" w:rsidRDefault="001D465C" w:rsidP="00C22745">
            <w:pPr>
              <w:jc w:val="center"/>
              <w:rPr>
                <w:rFonts w:eastAsia="Arial" w:cs="Arial"/>
                <w:b w:val="0"/>
                <w:bCs w:val="0"/>
                <w:sz w:val="20"/>
                <w:szCs w:val="20"/>
                <w:lang w:val="es-ES"/>
              </w:rPr>
            </w:pPr>
          </w:p>
          <w:p w14:paraId="607A9B95" w14:textId="77777777" w:rsidR="001D465C" w:rsidRDefault="001D465C" w:rsidP="001D465C">
            <w:pPr>
              <w:jc w:val="center"/>
              <w:rPr>
                <w:rFonts w:eastAsia="Arial" w:cs="Arial"/>
                <w:b w:val="0"/>
                <w:bCs w:val="0"/>
                <w:sz w:val="20"/>
                <w:szCs w:val="20"/>
                <w:lang w:val="es-ES"/>
              </w:rPr>
            </w:pPr>
          </w:p>
        </w:tc>
        <w:tc>
          <w:tcPr>
            <w:tcW w:w="1466" w:type="dxa"/>
          </w:tcPr>
          <w:p w14:paraId="5AAF8CC7" w14:textId="3A15D8D0" w:rsidR="001D465C" w:rsidRDefault="001D465C" w:rsidP="00D514A6">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570A0">
              <w:rPr>
                <w:rFonts w:cs="Arial"/>
                <w:sz w:val="20"/>
              </w:rPr>
              <w:lastRenderedPageBreak/>
              <w:t>A.CE.20</w:t>
            </w:r>
            <w:r>
              <w:rPr>
                <w:rFonts w:cs="Arial"/>
                <w:sz w:val="20"/>
              </w:rPr>
              <w:t>20</w:t>
            </w:r>
            <w:r w:rsidRPr="00C570A0">
              <w:rPr>
                <w:rFonts w:cs="Arial"/>
                <w:sz w:val="20"/>
              </w:rPr>
              <w:t>.</w:t>
            </w:r>
            <w:r>
              <w:rPr>
                <w:rFonts w:cs="Arial"/>
                <w:sz w:val="20"/>
              </w:rPr>
              <w:t xml:space="preserve">10 </w:t>
            </w:r>
            <w:r w:rsidRPr="00C570A0">
              <w:rPr>
                <w:rFonts w:cs="Arial"/>
                <w:sz w:val="20"/>
              </w:rPr>
              <w:t xml:space="preserve">de </w:t>
            </w:r>
            <w:r>
              <w:rPr>
                <w:rFonts w:cs="Arial"/>
                <w:sz w:val="20"/>
              </w:rPr>
              <w:t>02.06.2020</w:t>
            </w:r>
          </w:p>
        </w:tc>
        <w:tc>
          <w:tcPr>
            <w:tcW w:w="2643" w:type="dxa"/>
          </w:tcPr>
          <w:p w14:paraId="1BB88C7B" w14:textId="65D5B155" w:rsidR="001D465C" w:rsidRDefault="001D465C" w:rsidP="00D514A6">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6164B">
              <w:rPr>
                <w:rFonts w:eastAsia="Times New Roman" w:cs="Arial"/>
                <w:sz w:val="20"/>
                <w:lang w:val="es-ES"/>
              </w:rPr>
              <w:t xml:space="preserve">Se modifica en el proceso de elaboración de la Política Estatal </w:t>
            </w:r>
            <w:r w:rsidRPr="0016164B">
              <w:rPr>
                <w:rFonts w:eastAsia="Times New Roman" w:cs="Arial"/>
                <w:sz w:val="20"/>
                <w:lang w:val="es-ES"/>
              </w:rPr>
              <w:lastRenderedPageBreak/>
              <w:t>Anticorrupción</w:t>
            </w:r>
            <w:r>
              <w:rPr>
                <w:rFonts w:eastAsia="Times New Roman" w:cs="Arial"/>
                <w:sz w:val="20"/>
                <w:lang w:val="es-ES"/>
              </w:rPr>
              <w:t xml:space="preserve"> de Jalisco</w:t>
            </w:r>
            <w:r w:rsidRPr="0016164B">
              <w:rPr>
                <w:rFonts w:eastAsia="Times New Roman" w:cs="Arial"/>
                <w:sz w:val="20"/>
                <w:lang w:val="es-ES"/>
              </w:rPr>
              <w:t xml:space="preserve"> presentada en su sesión ordinaria de este órgano el 15 de octubre, para llevarse a cabo con las acciones específicas: Cancelar las </w:t>
            </w:r>
            <w:r>
              <w:rPr>
                <w:rFonts w:eastAsia="Times New Roman" w:cs="Arial"/>
                <w:sz w:val="20"/>
                <w:lang w:val="es-ES"/>
              </w:rPr>
              <w:t>C</w:t>
            </w:r>
            <w:r w:rsidRPr="0016164B">
              <w:rPr>
                <w:rFonts w:eastAsia="Times New Roman" w:cs="Arial"/>
                <w:sz w:val="20"/>
                <w:lang w:val="es-ES"/>
              </w:rPr>
              <w:t xml:space="preserve">onsultas </w:t>
            </w:r>
            <w:r>
              <w:rPr>
                <w:rFonts w:eastAsia="Times New Roman" w:cs="Arial"/>
                <w:sz w:val="20"/>
                <w:lang w:val="es-ES"/>
              </w:rPr>
              <w:t>R</w:t>
            </w:r>
            <w:r w:rsidRPr="0016164B">
              <w:rPr>
                <w:rFonts w:eastAsia="Times New Roman" w:cs="Arial"/>
                <w:sz w:val="20"/>
                <w:lang w:val="es-ES"/>
              </w:rPr>
              <w:t xml:space="preserve">egionales; </w:t>
            </w:r>
            <w:r>
              <w:rPr>
                <w:rFonts w:eastAsia="Times New Roman" w:cs="Arial"/>
                <w:sz w:val="20"/>
                <w:lang w:val="es-ES"/>
              </w:rPr>
              <w:t>p</w:t>
            </w:r>
            <w:r w:rsidRPr="0016164B">
              <w:rPr>
                <w:rFonts w:eastAsia="Times New Roman" w:cs="Arial"/>
                <w:sz w:val="20"/>
                <w:lang w:val="es-ES"/>
              </w:rPr>
              <w:t xml:space="preserve">ublicar en el </w:t>
            </w:r>
            <w:r>
              <w:rPr>
                <w:rFonts w:eastAsia="Times New Roman" w:cs="Arial"/>
                <w:sz w:val="20"/>
                <w:lang w:val="es-ES"/>
              </w:rPr>
              <w:t>m</w:t>
            </w:r>
            <w:r w:rsidRPr="0016164B">
              <w:rPr>
                <w:rFonts w:eastAsia="Times New Roman" w:cs="Arial"/>
                <w:sz w:val="20"/>
                <w:lang w:val="es-ES"/>
              </w:rPr>
              <w:t>icrositio de la Política Estatal Anticorrupción</w:t>
            </w:r>
            <w:r>
              <w:rPr>
                <w:rFonts w:eastAsia="Times New Roman" w:cs="Arial"/>
                <w:sz w:val="20"/>
                <w:lang w:val="es-ES"/>
              </w:rPr>
              <w:t xml:space="preserve"> de Jalisco</w:t>
            </w:r>
            <w:r w:rsidRPr="0016164B">
              <w:rPr>
                <w:rFonts w:eastAsia="Times New Roman" w:cs="Arial"/>
                <w:sz w:val="20"/>
                <w:lang w:val="es-ES"/>
              </w:rPr>
              <w:t xml:space="preserve"> la información relacionada con las Consultas Regionales y su cancelación</w:t>
            </w:r>
            <w:r>
              <w:rPr>
                <w:rFonts w:eastAsia="Times New Roman" w:cs="Arial"/>
                <w:sz w:val="20"/>
                <w:lang w:val="es-ES"/>
              </w:rPr>
              <w:t>;</w:t>
            </w:r>
            <w:r w:rsidRPr="0016164B">
              <w:rPr>
                <w:rFonts w:eastAsia="Times New Roman" w:cs="Arial"/>
                <w:sz w:val="20"/>
                <w:lang w:val="es-ES"/>
              </w:rPr>
              <w:t xml:space="preserve"> </w:t>
            </w:r>
            <w:r>
              <w:rPr>
                <w:rFonts w:eastAsia="Times New Roman" w:cs="Arial"/>
                <w:sz w:val="20"/>
                <w:lang w:val="es-ES"/>
              </w:rPr>
              <w:t>a</w:t>
            </w:r>
            <w:r w:rsidRPr="0016164B">
              <w:rPr>
                <w:rFonts w:eastAsia="Times New Roman" w:cs="Arial"/>
                <w:sz w:val="20"/>
                <w:lang w:val="es-ES"/>
              </w:rPr>
              <w:t xml:space="preserve">dicionar al proceso para elaborar una </w:t>
            </w:r>
            <w:r>
              <w:rPr>
                <w:rFonts w:eastAsia="Times New Roman" w:cs="Arial"/>
                <w:sz w:val="20"/>
                <w:lang w:val="es-ES"/>
              </w:rPr>
              <w:t>C</w:t>
            </w:r>
            <w:r w:rsidRPr="0016164B">
              <w:rPr>
                <w:rFonts w:eastAsia="Times New Roman" w:cs="Arial"/>
                <w:sz w:val="20"/>
                <w:lang w:val="es-ES"/>
              </w:rPr>
              <w:t xml:space="preserve">onsulta </w:t>
            </w:r>
            <w:r>
              <w:rPr>
                <w:rFonts w:eastAsia="Times New Roman" w:cs="Arial"/>
                <w:sz w:val="20"/>
                <w:lang w:val="es-ES"/>
              </w:rPr>
              <w:t>C</w:t>
            </w:r>
            <w:r w:rsidRPr="0016164B">
              <w:rPr>
                <w:rFonts w:eastAsia="Times New Roman" w:cs="Arial"/>
                <w:sz w:val="20"/>
                <w:lang w:val="es-ES"/>
              </w:rPr>
              <w:t xml:space="preserve">iudadana </w:t>
            </w:r>
            <w:r>
              <w:rPr>
                <w:rFonts w:eastAsia="Times New Roman" w:cs="Arial"/>
                <w:sz w:val="20"/>
                <w:lang w:val="es-ES"/>
              </w:rPr>
              <w:t>E</w:t>
            </w:r>
            <w:r w:rsidRPr="0016164B">
              <w:rPr>
                <w:rFonts w:eastAsia="Times New Roman" w:cs="Arial"/>
                <w:sz w:val="20"/>
                <w:lang w:val="es-ES"/>
              </w:rPr>
              <w:t xml:space="preserve">lectrónica para ordenar las prioridades; </w:t>
            </w:r>
            <w:r>
              <w:rPr>
                <w:rFonts w:eastAsia="Times New Roman" w:cs="Arial"/>
                <w:sz w:val="20"/>
                <w:lang w:val="es-ES"/>
              </w:rPr>
              <w:t>a</w:t>
            </w:r>
            <w:r w:rsidRPr="0016164B">
              <w:rPr>
                <w:rFonts w:eastAsia="Times New Roman" w:cs="Arial"/>
                <w:sz w:val="20"/>
                <w:lang w:val="es-ES"/>
              </w:rPr>
              <w:t>dicionar al proceso para elaborar esta Política Estatal Anticorrupción</w:t>
            </w:r>
            <w:r>
              <w:rPr>
                <w:rFonts w:eastAsia="Times New Roman" w:cs="Arial"/>
                <w:sz w:val="20"/>
                <w:lang w:val="es-ES"/>
              </w:rPr>
              <w:t xml:space="preserve"> de Jalisco</w:t>
            </w:r>
            <w:r w:rsidRPr="0016164B">
              <w:rPr>
                <w:rFonts w:eastAsia="Times New Roman" w:cs="Arial"/>
                <w:sz w:val="20"/>
                <w:lang w:val="es-ES"/>
              </w:rPr>
              <w:t xml:space="preserve"> un Taller de </w:t>
            </w:r>
            <w:r>
              <w:rPr>
                <w:rFonts w:eastAsia="Times New Roman" w:cs="Arial"/>
                <w:sz w:val="20"/>
                <w:lang w:val="es-ES"/>
              </w:rPr>
              <w:t>I</w:t>
            </w:r>
            <w:r w:rsidRPr="0016164B">
              <w:rPr>
                <w:rFonts w:eastAsia="Times New Roman" w:cs="Arial"/>
                <w:sz w:val="20"/>
                <w:lang w:val="es-ES"/>
              </w:rPr>
              <w:t xml:space="preserve">nteligencia </w:t>
            </w:r>
            <w:r>
              <w:rPr>
                <w:rFonts w:eastAsia="Times New Roman" w:cs="Arial"/>
                <w:sz w:val="20"/>
                <w:lang w:val="es-ES"/>
              </w:rPr>
              <w:t>C</w:t>
            </w:r>
            <w:r w:rsidRPr="0016164B">
              <w:rPr>
                <w:rFonts w:eastAsia="Times New Roman" w:cs="Arial"/>
                <w:sz w:val="20"/>
                <w:lang w:val="es-ES"/>
              </w:rPr>
              <w:t xml:space="preserve">olectiva con los titulares y los enlaces de planeación, seguimiento y evaluación de </w:t>
            </w:r>
            <w:r>
              <w:rPr>
                <w:rFonts w:eastAsia="Times New Roman" w:cs="Arial"/>
                <w:sz w:val="20"/>
                <w:lang w:val="es-ES"/>
              </w:rPr>
              <w:t xml:space="preserve">titulares de </w:t>
            </w:r>
            <w:r w:rsidRPr="0016164B">
              <w:rPr>
                <w:rFonts w:eastAsia="Times New Roman" w:cs="Arial"/>
                <w:sz w:val="20"/>
                <w:lang w:val="es-ES"/>
              </w:rPr>
              <w:t xml:space="preserve">las instituciones integrantes del Comité Coordinador  para ordenar estas prioridades; desarrollar una Matriz de Responsables y los Elementos de las Fichas de Matriz de Responsables; </w:t>
            </w:r>
            <w:r>
              <w:rPr>
                <w:rFonts w:eastAsia="Times New Roman" w:cs="Arial"/>
                <w:sz w:val="20"/>
                <w:lang w:val="es-ES"/>
              </w:rPr>
              <w:t>d</w:t>
            </w:r>
            <w:r w:rsidRPr="0016164B">
              <w:rPr>
                <w:rFonts w:eastAsia="Times New Roman" w:cs="Arial"/>
                <w:sz w:val="20"/>
                <w:lang w:val="es-ES"/>
              </w:rPr>
              <w:t xml:space="preserve">esarrollar un catálogo de indicadores y los Elementos de las Fichas de Indicadores; se entregará a esta Comisión Ejecutiva a más tardar el último día de septiembre el </w:t>
            </w:r>
            <w:r>
              <w:rPr>
                <w:rFonts w:eastAsia="Times New Roman" w:cs="Arial"/>
                <w:sz w:val="20"/>
                <w:lang w:val="es-ES"/>
              </w:rPr>
              <w:t>b</w:t>
            </w:r>
            <w:r w:rsidRPr="0016164B">
              <w:rPr>
                <w:rFonts w:eastAsia="Times New Roman" w:cs="Arial"/>
                <w:sz w:val="20"/>
                <w:lang w:val="es-ES"/>
              </w:rPr>
              <w:t>orrador de la propuesta de Política Estatal Anticorrupción</w:t>
            </w:r>
            <w:r>
              <w:rPr>
                <w:rFonts w:eastAsia="Times New Roman" w:cs="Arial"/>
                <w:sz w:val="20"/>
                <w:lang w:val="es-ES"/>
              </w:rPr>
              <w:t xml:space="preserve"> de Jalisco</w:t>
            </w:r>
            <w:r w:rsidRPr="0016164B">
              <w:rPr>
                <w:rFonts w:eastAsia="Times New Roman" w:cs="Arial"/>
                <w:sz w:val="20"/>
                <w:lang w:val="es-ES"/>
              </w:rPr>
              <w:t>.</w:t>
            </w:r>
          </w:p>
        </w:tc>
        <w:tc>
          <w:tcPr>
            <w:tcW w:w="3969" w:type="dxa"/>
          </w:tcPr>
          <w:p w14:paraId="11F20A87" w14:textId="07385B01" w:rsidR="001D465C" w:rsidRPr="00740F07" w:rsidRDefault="001D465C" w:rsidP="00D514A6">
            <w:pPr>
              <w:pBdr>
                <w:top w:val="nil"/>
                <w:left w:val="nil"/>
                <w:bottom w:val="nil"/>
                <w:right w:val="nil"/>
                <w:between w:val="nil"/>
              </w:pBdr>
              <w:ind w:right="175"/>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cs="Arial"/>
                <w:sz w:val="20"/>
              </w:rPr>
              <w:lastRenderedPageBreak/>
              <w:t>Concluido</w:t>
            </w:r>
          </w:p>
        </w:tc>
      </w:tr>
      <w:tr w:rsidR="001D465C" w14:paraId="724809E3"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3C939897" w14:textId="77777777" w:rsidR="001D465C" w:rsidRDefault="001D465C" w:rsidP="00C22745">
            <w:pPr>
              <w:jc w:val="center"/>
              <w:rPr>
                <w:rFonts w:eastAsia="Arial" w:cs="Arial"/>
                <w:b w:val="0"/>
                <w:bCs w:val="0"/>
                <w:sz w:val="20"/>
                <w:szCs w:val="20"/>
                <w:lang w:val="es-ES"/>
              </w:rPr>
            </w:pPr>
          </w:p>
        </w:tc>
        <w:tc>
          <w:tcPr>
            <w:tcW w:w="1466" w:type="dxa"/>
          </w:tcPr>
          <w:p w14:paraId="0551B300" w14:textId="70034A6A" w:rsidR="001D465C" w:rsidRDefault="001D465C" w:rsidP="009279A0">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570A0">
              <w:rPr>
                <w:rFonts w:cs="Arial"/>
                <w:sz w:val="20"/>
              </w:rPr>
              <w:t>A.CE.20</w:t>
            </w:r>
            <w:r>
              <w:rPr>
                <w:rFonts w:cs="Arial"/>
                <w:sz w:val="20"/>
              </w:rPr>
              <w:t>20</w:t>
            </w:r>
            <w:r w:rsidRPr="00C570A0">
              <w:rPr>
                <w:rFonts w:cs="Arial"/>
                <w:sz w:val="20"/>
              </w:rPr>
              <w:t>.</w:t>
            </w:r>
            <w:r>
              <w:rPr>
                <w:rFonts w:cs="Arial"/>
                <w:sz w:val="20"/>
              </w:rPr>
              <w:t xml:space="preserve">13 </w:t>
            </w:r>
            <w:r w:rsidRPr="00C570A0">
              <w:rPr>
                <w:rFonts w:cs="Arial"/>
                <w:sz w:val="20"/>
              </w:rPr>
              <w:t xml:space="preserve">de </w:t>
            </w:r>
            <w:r>
              <w:rPr>
                <w:rFonts w:cs="Arial"/>
                <w:sz w:val="20"/>
              </w:rPr>
              <w:t>21.07.2020</w:t>
            </w:r>
          </w:p>
        </w:tc>
        <w:tc>
          <w:tcPr>
            <w:tcW w:w="2643" w:type="dxa"/>
          </w:tcPr>
          <w:p w14:paraId="53D0F2CB" w14:textId="77777777" w:rsidR="001D465C" w:rsidRPr="00417239" w:rsidRDefault="001D465C" w:rsidP="009279A0">
            <w:pPr>
              <w:cnfStyle w:val="000000000000" w:firstRow="0" w:lastRow="0" w:firstColumn="0" w:lastColumn="0" w:oddVBand="0" w:evenVBand="0" w:oddHBand="0" w:evenHBand="0" w:firstRowFirstColumn="0" w:firstRowLastColumn="0" w:lastRowFirstColumn="0" w:lastRowLastColumn="0"/>
              <w:rPr>
                <w:rFonts w:eastAsia="Times New Roman" w:cs="Arial"/>
                <w:sz w:val="20"/>
                <w:lang w:val="es-ES"/>
              </w:rPr>
            </w:pPr>
            <w:r w:rsidRPr="00417239">
              <w:rPr>
                <w:rFonts w:eastAsia="Times New Roman" w:cs="Arial"/>
                <w:sz w:val="20"/>
                <w:lang w:val="es-ES"/>
              </w:rPr>
              <w:t>Se aprueba que el Dr. David Gómez Álvarez Pérez envíe la propuesta de otros integrantes para ampliar el Consejo Consultivo.</w:t>
            </w:r>
          </w:p>
          <w:p w14:paraId="2A4CA7D2" w14:textId="494AC0BD" w:rsidR="001D465C" w:rsidRDefault="001D465C" w:rsidP="009279A0">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3969" w:type="dxa"/>
          </w:tcPr>
          <w:p w14:paraId="11FF3150" w14:textId="77777777" w:rsidR="001D465C" w:rsidRPr="00FD7FF8" w:rsidRDefault="001D465C" w:rsidP="009279A0">
            <w:pPr>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FD7FF8">
              <w:rPr>
                <w:rFonts w:cs="Arial"/>
                <w:sz w:val="20"/>
              </w:rPr>
              <w:t>Concluido</w:t>
            </w:r>
          </w:p>
          <w:p w14:paraId="59CEEC31" w14:textId="77777777" w:rsidR="001D465C" w:rsidRDefault="001D465C" w:rsidP="009279A0">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1D465C" w14:paraId="3EB920A6"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tcPr>
          <w:p w14:paraId="14DADA69" w14:textId="77777777" w:rsidR="001D465C" w:rsidRDefault="001D465C" w:rsidP="00C22745">
            <w:pPr>
              <w:jc w:val="center"/>
              <w:rPr>
                <w:rFonts w:eastAsia="Arial" w:cs="Arial"/>
                <w:b w:val="0"/>
                <w:bCs w:val="0"/>
                <w:sz w:val="20"/>
                <w:szCs w:val="20"/>
                <w:lang w:val="es-ES"/>
              </w:rPr>
            </w:pPr>
          </w:p>
        </w:tc>
        <w:tc>
          <w:tcPr>
            <w:tcW w:w="1466" w:type="dxa"/>
          </w:tcPr>
          <w:p w14:paraId="2AF9BB19" w14:textId="7A04D058" w:rsidR="001D465C" w:rsidRDefault="001D465C" w:rsidP="00C22745">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570A0">
              <w:rPr>
                <w:rFonts w:cs="Arial"/>
                <w:sz w:val="20"/>
              </w:rPr>
              <w:t>A.CE.20</w:t>
            </w:r>
            <w:r>
              <w:rPr>
                <w:rFonts w:cs="Arial"/>
                <w:sz w:val="20"/>
              </w:rPr>
              <w:t>20</w:t>
            </w:r>
            <w:r w:rsidRPr="00C570A0">
              <w:rPr>
                <w:rFonts w:cs="Arial"/>
                <w:sz w:val="20"/>
              </w:rPr>
              <w:t>.</w:t>
            </w:r>
            <w:r>
              <w:rPr>
                <w:rFonts w:cs="Arial"/>
                <w:sz w:val="20"/>
              </w:rPr>
              <w:t xml:space="preserve">14 </w:t>
            </w:r>
            <w:r w:rsidRPr="00C570A0">
              <w:rPr>
                <w:rFonts w:cs="Arial"/>
                <w:sz w:val="20"/>
              </w:rPr>
              <w:t xml:space="preserve">de </w:t>
            </w:r>
            <w:r>
              <w:rPr>
                <w:rFonts w:cs="Arial"/>
                <w:sz w:val="20"/>
              </w:rPr>
              <w:t>21.07.2020</w:t>
            </w:r>
          </w:p>
        </w:tc>
        <w:tc>
          <w:tcPr>
            <w:tcW w:w="2643" w:type="dxa"/>
          </w:tcPr>
          <w:p w14:paraId="498B7676" w14:textId="626A2597" w:rsidR="001D465C" w:rsidRDefault="001D465C" w:rsidP="00C22745">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724C3">
              <w:rPr>
                <w:rFonts w:eastAsia="Times New Roman" w:cs="Arial"/>
                <w:sz w:val="20"/>
                <w:lang w:val="es-ES"/>
              </w:rPr>
              <w:t>Se aprueba que se realice una Sesión Extraordinaria el 24 de julio de 2020 a las 10:00 horas.</w:t>
            </w:r>
          </w:p>
        </w:tc>
        <w:tc>
          <w:tcPr>
            <w:tcW w:w="3969" w:type="dxa"/>
          </w:tcPr>
          <w:p w14:paraId="064C788B" w14:textId="1D3107CC" w:rsidR="001D465C" w:rsidRDefault="001D465C" w:rsidP="00C22745">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cs="Arial"/>
                <w:sz w:val="20"/>
              </w:rPr>
              <w:t>Concluido</w:t>
            </w:r>
          </w:p>
        </w:tc>
      </w:tr>
      <w:tr w:rsidR="001D465C" w14:paraId="63F26807"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F2450CE" w14:textId="77777777" w:rsidR="001D465C" w:rsidRDefault="001D465C" w:rsidP="00E03329">
            <w:pPr>
              <w:jc w:val="center"/>
              <w:rPr>
                <w:rFonts w:eastAsia="Arial" w:cs="Arial"/>
                <w:b w:val="0"/>
                <w:bCs w:val="0"/>
                <w:sz w:val="20"/>
                <w:szCs w:val="20"/>
                <w:lang w:val="es-ES"/>
              </w:rPr>
            </w:pPr>
          </w:p>
        </w:tc>
        <w:tc>
          <w:tcPr>
            <w:tcW w:w="1466" w:type="dxa"/>
          </w:tcPr>
          <w:p w14:paraId="4F3CB45E" w14:textId="06284A7C" w:rsidR="001D465C" w:rsidRDefault="001D465C" w:rsidP="00E0332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570A0">
              <w:rPr>
                <w:rFonts w:cs="Arial"/>
                <w:sz w:val="20"/>
              </w:rPr>
              <w:t>A.CE.20</w:t>
            </w:r>
            <w:r>
              <w:rPr>
                <w:rFonts w:cs="Arial"/>
                <w:sz w:val="20"/>
              </w:rPr>
              <w:t>20</w:t>
            </w:r>
            <w:r w:rsidRPr="00C570A0">
              <w:rPr>
                <w:rFonts w:cs="Arial"/>
                <w:sz w:val="20"/>
              </w:rPr>
              <w:t>.</w:t>
            </w:r>
            <w:r>
              <w:rPr>
                <w:rFonts w:cs="Arial"/>
                <w:sz w:val="20"/>
              </w:rPr>
              <w:t xml:space="preserve">15 </w:t>
            </w:r>
            <w:r w:rsidRPr="00C570A0">
              <w:rPr>
                <w:rFonts w:cs="Arial"/>
                <w:sz w:val="20"/>
              </w:rPr>
              <w:t xml:space="preserve">de </w:t>
            </w:r>
            <w:r>
              <w:rPr>
                <w:rFonts w:cs="Arial"/>
                <w:sz w:val="20"/>
              </w:rPr>
              <w:t>24.07.2020</w:t>
            </w:r>
          </w:p>
        </w:tc>
        <w:tc>
          <w:tcPr>
            <w:tcW w:w="2643" w:type="dxa"/>
          </w:tcPr>
          <w:p w14:paraId="66E06991" w14:textId="6688D04B" w:rsidR="001D465C" w:rsidRDefault="001D465C" w:rsidP="00E0332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A63A29">
              <w:rPr>
                <w:rFonts w:eastAsia="Times New Roman" w:cs="Arial"/>
                <w:sz w:val="20"/>
                <w:lang w:val="es-ES"/>
              </w:rPr>
              <w:t>Se aprueba que el Consejo Consultivo para la elaboración de la Política Estatal Anticorrupción de Jalisco sea integrado por las 16 personas, cuya lista fue enviada por el Dr. David Gómez Álvarez Pérez y que fue propuesta a nombre de todos los integrantes del CPS.</w:t>
            </w:r>
          </w:p>
        </w:tc>
        <w:tc>
          <w:tcPr>
            <w:tcW w:w="3969" w:type="dxa"/>
          </w:tcPr>
          <w:p w14:paraId="4A3EBD56" w14:textId="3F0105EF" w:rsidR="001D465C" w:rsidRPr="00CF4AA6" w:rsidRDefault="001D465C" w:rsidP="006D48A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cs="Arial"/>
                <w:sz w:val="20"/>
              </w:rPr>
              <w:t>Concluido</w:t>
            </w:r>
          </w:p>
        </w:tc>
      </w:tr>
      <w:tr w:rsidR="001D465C" w14:paraId="729C65A6"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53D30514" w14:textId="77777777" w:rsidR="00B51AD0" w:rsidRDefault="00B51AD0" w:rsidP="001D465C">
            <w:pPr>
              <w:jc w:val="center"/>
              <w:rPr>
                <w:rFonts w:eastAsia="Arial" w:cs="Arial"/>
                <w:b w:val="0"/>
                <w:bCs w:val="0"/>
                <w:sz w:val="20"/>
                <w:szCs w:val="20"/>
                <w:lang w:val="es-ES"/>
              </w:rPr>
            </w:pPr>
          </w:p>
          <w:p w14:paraId="1ED351B8" w14:textId="77777777" w:rsidR="00B51AD0" w:rsidRDefault="00B51AD0" w:rsidP="001D465C">
            <w:pPr>
              <w:jc w:val="center"/>
              <w:rPr>
                <w:rFonts w:eastAsia="Arial" w:cs="Arial"/>
                <w:b w:val="0"/>
                <w:bCs w:val="0"/>
                <w:sz w:val="20"/>
                <w:szCs w:val="20"/>
                <w:lang w:val="es-ES"/>
              </w:rPr>
            </w:pPr>
          </w:p>
          <w:p w14:paraId="199C798A" w14:textId="77777777" w:rsidR="00B51AD0" w:rsidRDefault="00B51AD0" w:rsidP="001D465C">
            <w:pPr>
              <w:jc w:val="center"/>
              <w:rPr>
                <w:rFonts w:eastAsia="Arial" w:cs="Arial"/>
                <w:b w:val="0"/>
                <w:bCs w:val="0"/>
                <w:sz w:val="20"/>
                <w:szCs w:val="20"/>
                <w:lang w:val="es-ES"/>
              </w:rPr>
            </w:pPr>
          </w:p>
          <w:p w14:paraId="562A6A31" w14:textId="77777777" w:rsidR="00B51AD0" w:rsidRDefault="00B51AD0" w:rsidP="001D465C">
            <w:pPr>
              <w:jc w:val="center"/>
              <w:rPr>
                <w:rFonts w:eastAsia="Arial" w:cs="Arial"/>
                <w:b w:val="0"/>
                <w:bCs w:val="0"/>
                <w:sz w:val="20"/>
                <w:szCs w:val="20"/>
                <w:lang w:val="es-ES"/>
              </w:rPr>
            </w:pPr>
          </w:p>
          <w:p w14:paraId="00083878" w14:textId="77777777" w:rsidR="00B51AD0" w:rsidRDefault="00B51AD0" w:rsidP="001D465C">
            <w:pPr>
              <w:jc w:val="center"/>
              <w:rPr>
                <w:rFonts w:eastAsia="Arial" w:cs="Arial"/>
                <w:b w:val="0"/>
                <w:bCs w:val="0"/>
                <w:sz w:val="20"/>
                <w:szCs w:val="20"/>
                <w:lang w:val="es-ES"/>
              </w:rPr>
            </w:pPr>
          </w:p>
          <w:p w14:paraId="6068CCD4" w14:textId="77777777" w:rsidR="00B51AD0" w:rsidRDefault="00B51AD0" w:rsidP="001D465C">
            <w:pPr>
              <w:jc w:val="center"/>
              <w:rPr>
                <w:rFonts w:eastAsia="Arial" w:cs="Arial"/>
                <w:b w:val="0"/>
                <w:bCs w:val="0"/>
                <w:sz w:val="20"/>
                <w:szCs w:val="20"/>
                <w:lang w:val="es-ES"/>
              </w:rPr>
            </w:pPr>
          </w:p>
          <w:p w14:paraId="5E67D8FB" w14:textId="77777777" w:rsidR="00B51AD0" w:rsidRDefault="00B51AD0" w:rsidP="001D465C">
            <w:pPr>
              <w:jc w:val="center"/>
              <w:rPr>
                <w:rFonts w:eastAsia="Arial" w:cs="Arial"/>
                <w:b w:val="0"/>
                <w:bCs w:val="0"/>
                <w:sz w:val="20"/>
                <w:szCs w:val="20"/>
                <w:lang w:val="es-ES"/>
              </w:rPr>
            </w:pPr>
          </w:p>
          <w:p w14:paraId="6CA5E3FF" w14:textId="77777777" w:rsidR="00B51AD0" w:rsidRDefault="00B51AD0" w:rsidP="001D465C">
            <w:pPr>
              <w:jc w:val="center"/>
              <w:rPr>
                <w:rFonts w:eastAsia="Arial" w:cs="Arial"/>
                <w:b w:val="0"/>
                <w:bCs w:val="0"/>
                <w:sz w:val="20"/>
                <w:szCs w:val="20"/>
                <w:lang w:val="es-ES"/>
              </w:rPr>
            </w:pPr>
          </w:p>
          <w:p w14:paraId="3694319D" w14:textId="77777777" w:rsidR="00B51AD0" w:rsidRDefault="00B51AD0" w:rsidP="001D465C">
            <w:pPr>
              <w:jc w:val="center"/>
              <w:rPr>
                <w:rFonts w:eastAsia="Arial" w:cs="Arial"/>
                <w:b w:val="0"/>
                <w:bCs w:val="0"/>
                <w:sz w:val="20"/>
                <w:szCs w:val="20"/>
                <w:lang w:val="es-ES"/>
              </w:rPr>
            </w:pPr>
          </w:p>
          <w:p w14:paraId="37D9B147" w14:textId="332892CB" w:rsidR="001D465C" w:rsidRPr="00924154" w:rsidRDefault="001D465C" w:rsidP="001D465C">
            <w:pPr>
              <w:jc w:val="center"/>
              <w:rPr>
                <w:rFonts w:eastAsia="Arial" w:cs="Arial"/>
                <w:b w:val="0"/>
                <w:bCs w:val="0"/>
                <w:sz w:val="20"/>
                <w:szCs w:val="20"/>
                <w:lang w:val="es-ES"/>
              </w:rPr>
            </w:pPr>
            <w:r>
              <w:rPr>
                <w:rFonts w:eastAsia="Arial" w:cs="Arial"/>
                <w:sz w:val="20"/>
                <w:szCs w:val="20"/>
                <w:lang w:val="es-ES"/>
              </w:rPr>
              <w:t>2020</w:t>
            </w:r>
          </w:p>
          <w:p w14:paraId="1C8A357F" w14:textId="77777777" w:rsidR="001D465C" w:rsidRDefault="001D465C" w:rsidP="006D48A7">
            <w:pPr>
              <w:jc w:val="center"/>
              <w:rPr>
                <w:rFonts w:eastAsia="Arial" w:cs="Arial"/>
                <w:b w:val="0"/>
                <w:bCs w:val="0"/>
                <w:sz w:val="20"/>
                <w:szCs w:val="20"/>
                <w:lang w:val="es-ES"/>
              </w:rPr>
            </w:pPr>
          </w:p>
        </w:tc>
        <w:tc>
          <w:tcPr>
            <w:tcW w:w="1466" w:type="dxa"/>
          </w:tcPr>
          <w:p w14:paraId="7D331569" w14:textId="4216BDC7" w:rsidR="001D465C" w:rsidRPr="00C570A0" w:rsidRDefault="001D465C" w:rsidP="006D48A7">
            <w:pPr>
              <w:cnfStyle w:val="000000100000" w:firstRow="0" w:lastRow="0" w:firstColumn="0" w:lastColumn="0" w:oddVBand="0" w:evenVBand="0" w:oddHBand="1" w:evenHBand="0" w:firstRowFirstColumn="0" w:firstRowLastColumn="0" w:lastRowFirstColumn="0" w:lastRowLastColumn="0"/>
              <w:rPr>
                <w:rFonts w:cs="Arial"/>
                <w:sz w:val="20"/>
              </w:rPr>
            </w:pPr>
            <w:r w:rsidRPr="00C570A0">
              <w:rPr>
                <w:rFonts w:cs="Arial"/>
                <w:sz w:val="20"/>
              </w:rPr>
              <w:t>A.CE.20</w:t>
            </w:r>
            <w:r>
              <w:rPr>
                <w:rFonts w:cs="Arial"/>
                <w:sz w:val="20"/>
              </w:rPr>
              <w:t>20</w:t>
            </w:r>
            <w:r w:rsidRPr="00C570A0">
              <w:rPr>
                <w:rFonts w:cs="Arial"/>
                <w:sz w:val="20"/>
              </w:rPr>
              <w:t>.</w:t>
            </w:r>
            <w:r>
              <w:rPr>
                <w:rFonts w:cs="Arial"/>
                <w:sz w:val="20"/>
              </w:rPr>
              <w:t xml:space="preserve">16 </w:t>
            </w:r>
            <w:r w:rsidRPr="00C570A0">
              <w:rPr>
                <w:rFonts w:cs="Arial"/>
                <w:sz w:val="20"/>
              </w:rPr>
              <w:t xml:space="preserve">de </w:t>
            </w:r>
            <w:r>
              <w:rPr>
                <w:rFonts w:cs="Arial"/>
                <w:sz w:val="20"/>
              </w:rPr>
              <w:t>24.07.2020</w:t>
            </w:r>
          </w:p>
        </w:tc>
        <w:tc>
          <w:tcPr>
            <w:tcW w:w="2643" w:type="dxa"/>
          </w:tcPr>
          <w:p w14:paraId="2BC959E7" w14:textId="7D7B579A" w:rsidR="001D465C" w:rsidRPr="00A63A29" w:rsidRDefault="001D465C" w:rsidP="006D48A7">
            <w:pPr>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E6256A">
              <w:rPr>
                <w:rFonts w:eastAsia="Times New Roman" w:cs="Arial"/>
                <w:sz w:val="20"/>
                <w:lang w:val="es-ES"/>
              </w:rPr>
              <w:t>Se aprueba la Recomendación para el Fortalecimiento Institucional de la Contraloría Social en los Municipios del Estado de Jalisco, para efectos de proponerlo en su oportunidad al Comité Coordinador para su análisis y, en su caso, aprobación.</w:t>
            </w:r>
          </w:p>
        </w:tc>
        <w:tc>
          <w:tcPr>
            <w:tcW w:w="3969" w:type="dxa"/>
          </w:tcPr>
          <w:p w14:paraId="668AB707" w14:textId="7FDCA6C1" w:rsidR="001D465C" w:rsidRDefault="001D465C" w:rsidP="006D48A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Concluido</w:t>
            </w:r>
          </w:p>
        </w:tc>
      </w:tr>
      <w:tr w:rsidR="001D465C" w14:paraId="439EB016"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72B7930" w14:textId="77777777" w:rsidR="001D465C" w:rsidRDefault="001D465C" w:rsidP="00D17FB7">
            <w:pPr>
              <w:jc w:val="center"/>
              <w:rPr>
                <w:rFonts w:eastAsia="Arial" w:cs="Arial"/>
                <w:b w:val="0"/>
                <w:bCs w:val="0"/>
                <w:sz w:val="20"/>
                <w:szCs w:val="20"/>
                <w:lang w:val="es-ES"/>
              </w:rPr>
            </w:pPr>
          </w:p>
        </w:tc>
        <w:tc>
          <w:tcPr>
            <w:tcW w:w="1466" w:type="dxa"/>
          </w:tcPr>
          <w:p w14:paraId="79D4DAF6" w14:textId="2C509733" w:rsidR="001D465C" w:rsidRPr="00C570A0" w:rsidRDefault="001D465C" w:rsidP="00D17FB7">
            <w:pPr>
              <w:cnfStyle w:val="000000000000" w:firstRow="0" w:lastRow="0" w:firstColumn="0" w:lastColumn="0" w:oddVBand="0" w:evenVBand="0" w:oddHBand="0" w:evenHBand="0" w:firstRowFirstColumn="0" w:firstRowLastColumn="0" w:lastRowFirstColumn="0" w:lastRowLastColumn="0"/>
              <w:rPr>
                <w:rFonts w:cs="Arial"/>
                <w:sz w:val="20"/>
              </w:rPr>
            </w:pPr>
            <w:r w:rsidRPr="00C570A0">
              <w:rPr>
                <w:rFonts w:cs="Arial"/>
                <w:sz w:val="20"/>
              </w:rPr>
              <w:t>A.CE.20</w:t>
            </w:r>
            <w:r>
              <w:rPr>
                <w:rFonts w:cs="Arial"/>
                <w:sz w:val="20"/>
              </w:rPr>
              <w:t>20</w:t>
            </w:r>
            <w:r w:rsidRPr="00C570A0">
              <w:rPr>
                <w:rFonts w:cs="Arial"/>
                <w:sz w:val="20"/>
              </w:rPr>
              <w:t>.</w:t>
            </w:r>
            <w:r>
              <w:rPr>
                <w:rFonts w:cs="Arial"/>
                <w:sz w:val="20"/>
              </w:rPr>
              <w:t xml:space="preserve">17 </w:t>
            </w:r>
            <w:r w:rsidRPr="00C570A0">
              <w:rPr>
                <w:rFonts w:cs="Arial"/>
                <w:sz w:val="20"/>
              </w:rPr>
              <w:t xml:space="preserve">de </w:t>
            </w:r>
            <w:r>
              <w:rPr>
                <w:rFonts w:cs="Arial"/>
                <w:sz w:val="20"/>
              </w:rPr>
              <w:t>17.09.2020</w:t>
            </w:r>
          </w:p>
        </w:tc>
        <w:tc>
          <w:tcPr>
            <w:tcW w:w="2643" w:type="dxa"/>
          </w:tcPr>
          <w:p w14:paraId="75E0F5DE" w14:textId="2AC548F5" w:rsidR="001D465C" w:rsidRPr="00E6256A" w:rsidRDefault="001D465C" w:rsidP="00D17FB7">
            <w:pPr>
              <w:cnfStyle w:val="000000000000" w:firstRow="0" w:lastRow="0" w:firstColumn="0" w:lastColumn="0" w:oddVBand="0" w:evenVBand="0" w:oddHBand="0" w:evenHBand="0" w:firstRowFirstColumn="0" w:firstRowLastColumn="0" w:lastRowFirstColumn="0" w:lastRowLastColumn="0"/>
              <w:rPr>
                <w:rFonts w:eastAsia="Times New Roman" w:cs="Arial"/>
                <w:sz w:val="20"/>
                <w:lang w:val="es-ES"/>
              </w:rPr>
            </w:pPr>
            <w:r w:rsidRPr="00A81B64">
              <w:rPr>
                <w:rFonts w:eastAsia="Times New Roman" w:cs="Arial"/>
                <w:sz w:val="20"/>
                <w:lang w:val="es-ES"/>
              </w:rPr>
              <w:t xml:space="preserve">Es aprobado por unanimidad de la Comisión Ejecutiva el Proyecto de Informe de Actividades 2019-2020 del Comité Coordinador y que se hagan </w:t>
            </w:r>
            <w:r>
              <w:rPr>
                <w:rFonts w:eastAsia="Times New Roman" w:cs="Arial"/>
                <w:sz w:val="20"/>
                <w:lang w:val="es-ES"/>
              </w:rPr>
              <w:t>las</w:t>
            </w:r>
            <w:r w:rsidRPr="00A81B64">
              <w:rPr>
                <w:rFonts w:eastAsia="Times New Roman" w:cs="Arial"/>
                <w:sz w:val="20"/>
                <w:lang w:val="es-ES"/>
              </w:rPr>
              <w:t xml:space="preserve"> adecuaciones señaladas por el Dr. Ibarra</w:t>
            </w:r>
            <w:r>
              <w:rPr>
                <w:rFonts w:eastAsia="Times New Roman" w:cs="Arial"/>
                <w:sz w:val="20"/>
                <w:lang w:val="es-ES"/>
              </w:rPr>
              <w:t xml:space="preserve"> Cárdenas</w:t>
            </w:r>
            <w:r w:rsidRPr="00A81B64">
              <w:rPr>
                <w:rFonts w:eastAsia="Times New Roman" w:cs="Arial"/>
                <w:sz w:val="20"/>
                <w:lang w:val="es-ES"/>
              </w:rPr>
              <w:t xml:space="preserve"> antes de presentárselo al Comité Coordinador.</w:t>
            </w:r>
          </w:p>
        </w:tc>
        <w:tc>
          <w:tcPr>
            <w:tcW w:w="3969" w:type="dxa"/>
          </w:tcPr>
          <w:p w14:paraId="52453212" w14:textId="6D8CB924" w:rsidR="001D465C" w:rsidRDefault="001D465C" w:rsidP="00D17FB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Concluido</w:t>
            </w:r>
          </w:p>
        </w:tc>
      </w:tr>
    </w:tbl>
    <w:p w14:paraId="42396B94" w14:textId="77777777" w:rsidR="00C86FA3" w:rsidRDefault="00C86FA3" w:rsidP="00C86FA3">
      <w:pPr>
        <w:rPr>
          <w:rFonts w:eastAsia="Arial" w:cs="Arial"/>
          <w:b/>
          <w:bCs/>
          <w:color w:val="006078"/>
          <w:szCs w:val="22"/>
        </w:rPr>
      </w:pPr>
    </w:p>
    <w:p w14:paraId="35BEF592" w14:textId="77777777" w:rsidR="00C7680C" w:rsidRDefault="00C7680C" w:rsidP="00C7680C">
      <w:pPr>
        <w:rPr>
          <w:rFonts w:eastAsia="Arial" w:cs="Arial"/>
        </w:rPr>
      </w:pPr>
      <w:r>
        <w:rPr>
          <w:rFonts w:eastAsia="Arial" w:cs="Arial"/>
        </w:rPr>
        <w:t xml:space="preserve">La Secretaria Técnica menciona que con relación al acuerdo </w:t>
      </w:r>
      <w:r w:rsidRPr="005843E0">
        <w:rPr>
          <w:rFonts w:eastAsia="Arial" w:cs="Arial"/>
          <w:b/>
        </w:rPr>
        <w:t>A.CE.2020.4</w:t>
      </w:r>
      <w:r w:rsidRPr="00482AAF">
        <w:rPr>
          <w:rFonts w:eastAsia="Arial" w:cs="Arial"/>
          <w:bCs/>
        </w:rPr>
        <w:t>,</w:t>
      </w:r>
      <w:r>
        <w:rPr>
          <w:rFonts w:eastAsia="Arial" w:cs="Arial"/>
          <w:b/>
        </w:rPr>
        <w:t xml:space="preserve"> </w:t>
      </w:r>
      <w:r>
        <w:rPr>
          <w:rFonts w:eastAsia="Arial" w:cs="Arial"/>
        </w:rPr>
        <w:t>sobre</w:t>
      </w:r>
      <w:r w:rsidRPr="00570926">
        <w:rPr>
          <w:rFonts w:eastAsia="Arial" w:cs="Arial"/>
        </w:rPr>
        <w:t xml:space="preserve"> la estrategia de difusión y capacitación de la </w:t>
      </w:r>
      <w:r>
        <w:rPr>
          <w:rFonts w:eastAsia="Arial" w:cs="Arial"/>
        </w:rPr>
        <w:t>G</w:t>
      </w:r>
      <w:r w:rsidRPr="00570926">
        <w:rPr>
          <w:rFonts w:eastAsia="Arial" w:cs="Arial"/>
        </w:rPr>
        <w:t xml:space="preserve">uía para la presentación de denuncias por faltas administrativas y hechos de corrupción, </w:t>
      </w:r>
      <w:r>
        <w:rPr>
          <w:rFonts w:eastAsia="Arial" w:cs="Arial"/>
        </w:rPr>
        <w:t xml:space="preserve">que </w:t>
      </w:r>
      <w:r w:rsidRPr="00570926">
        <w:rPr>
          <w:rFonts w:eastAsia="Arial" w:cs="Arial"/>
        </w:rPr>
        <w:t>será un asunto que siempre estará en proceso</w:t>
      </w:r>
      <w:r>
        <w:rPr>
          <w:rFonts w:eastAsia="Arial" w:cs="Arial"/>
        </w:rPr>
        <w:t>,</w:t>
      </w:r>
      <w:r w:rsidRPr="00570926">
        <w:rPr>
          <w:rFonts w:eastAsia="Arial" w:cs="Arial"/>
        </w:rPr>
        <w:t xml:space="preserve"> dado que la campaña es de forma permanente, durante el último trimestre del año se realizar</w:t>
      </w:r>
      <w:r>
        <w:rPr>
          <w:rFonts w:eastAsia="Arial" w:cs="Arial"/>
        </w:rPr>
        <w:t xml:space="preserve">án </w:t>
      </w:r>
      <w:r w:rsidRPr="00570926">
        <w:rPr>
          <w:rFonts w:eastAsia="Arial" w:cs="Arial"/>
        </w:rPr>
        <w:t>publicaciones en cuentas institucionales de Facebook, Twitter e Instagram para promover la guía en sus tres versiones: integral, resumen y de bolsillo, a través de textos redactados para las redes sociales, y</w:t>
      </w:r>
      <w:r>
        <w:rPr>
          <w:rFonts w:eastAsia="Arial" w:cs="Arial"/>
        </w:rPr>
        <w:t xml:space="preserve"> en</w:t>
      </w:r>
      <w:r w:rsidRPr="00570926">
        <w:rPr>
          <w:rFonts w:eastAsia="Arial" w:cs="Arial"/>
        </w:rPr>
        <w:t xml:space="preserve"> redes sociales por medio de 29 postales, 3 </w:t>
      </w:r>
      <w:r>
        <w:rPr>
          <w:rFonts w:eastAsia="Arial" w:cs="Arial"/>
        </w:rPr>
        <w:t>g</w:t>
      </w:r>
      <w:r w:rsidRPr="00570926">
        <w:rPr>
          <w:rFonts w:eastAsia="Arial" w:cs="Arial"/>
        </w:rPr>
        <w:t>if y 2 portadas.</w:t>
      </w:r>
    </w:p>
    <w:p w14:paraId="79DFB402" w14:textId="77777777" w:rsidR="00C7680C" w:rsidRDefault="00C7680C" w:rsidP="00C7680C">
      <w:pPr>
        <w:rPr>
          <w:rFonts w:eastAsia="Arial" w:cs="Arial"/>
        </w:rPr>
      </w:pPr>
    </w:p>
    <w:p w14:paraId="1609A5FE" w14:textId="77777777" w:rsidR="00C7680C" w:rsidRDefault="00C7680C" w:rsidP="00C7680C">
      <w:pPr>
        <w:rPr>
          <w:rFonts w:eastAsia="Arial" w:cs="Arial"/>
        </w:rPr>
      </w:pPr>
      <w:r>
        <w:rPr>
          <w:rFonts w:eastAsia="Arial" w:cs="Arial"/>
        </w:rPr>
        <w:t xml:space="preserve">La Secretaria Técnica continúa con el acuerdo </w:t>
      </w:r>
      <w:r>
        <w:rPr>
          <w:rFonts w:eastAsia="Arial" w:cs="Arial"/>
          <w:b/>
        </w:rPr>
        <w:t>A.CE.2020.5</w:t>
      </w:r>
      <w:r>
        <w:rPr>
          <w:rFonts w:eastAsia="Arial" w:cs="Arial"/>
        </w:rPr>
        <w:t xml:space="preserve">, acerca </w:t>
      </w:r>
      <w:r w:rsidRPr="00F01861">
        <w:rPr>
          <w:rFonts w:eastAsia="Arial" w:cs="Arial"/>
        </w:rPr>
        <w:t xml:space="preserve">del </w:t>
      </w:r>
      <w:r>
        <w:rPr>
          <w:rFonts w:eastAsia="Arial" w:cs="Arial"/>
        </w:rPr>
        <w:t>P</w:t>
      </w:r>
      <w:r w:rsidRPr="00F01861">
        <w:rPr>
          <w:rFonts w:eastAsia="Arial" w:cs="Arial"/>
        </w:rPr>
        <w:t xml:space="preserve">lan de trabajo y la metodología para la publicación de los </w:t>
      </w:r>
      <w:r>
        <w:rPr>
          <w:rFonts w:eastAsia="Arial" w:cs="Arial"/>
        </w:rPr>
        <w:t>D</w:t>
      </w:r>
      <w:r w:rsidRPr="00F01861">
        <w:rPr>
          <w:rFonts w:eastAsia="Arial" w:cs="Arial"/>
        </w:rPr>
        <w:t xml:space="preserve">atos </w:t>
      </w:r>
      <w:r>
        <w:rPr>
          <w:rFonts w:eastAsia="Arial" w:cs="Arial"/>
        </w:rPr>
        <w:t>A</w:t>
      </w:r>
      <w:r w:rsidRPr="00F01861">
        <w:rPr>
          <w:rFonts w:eastAsia="Arial" w:cs="Arial"/>
        </w:rPr>
        <w:t>biertos</w:t>
      </w:r>
      <w:r>
        <w:rPr>
          <w:rFonts w:eastAsia="Arial" w:cs="Arial"/>
        </w:rPr>
        <w:t>. Resalta que</w:t>
      </w:r>
      <w:r w:rsidRPr="00F01861">
        <w:rPr>
          <w:rFonts w:eastAsia="Arial" w:cs="Arial"/>
        </w:rPr>
        <w:t xml:space="preserve"> se recibió respuesta por parte del Coordinador General de Innovación Gubernamental</w:t>
      </w:r>
      <w:r>
        <w:rPr>
          <w:rFonts w:eastAsia="Arial" w:cs="Arial"/>
        </w:rPr>
        <w:t>,</w:t>
      </w:r>
      <w:r w:rsidRPr="00F01861">
        <w:rPr>
          <w:rFonts w:eastAsia="Arial" w:cs="Arial"/>
        </w:rPr>
        <w:t xml:space="preserve"> Mario Arauz, perteneciente a la Jefatura de Gabinete, </w:t>
      </w:r>
      <w:r>
        <w:rPr>
          <w:rFonts w:eastAsia="Arial" w:cs="Arial"/>
        </w:rPr>
        <w:t xml:space="preserve">quien </w:t>
      </w:r>
      <w:r w:rsidRPr="00F01861">
        <w:rPr>
          <w:rFonts w:eastAsia="Arial" w:cs="Arial"/>
        </w:rPr>
        <w:t xml:space="preserve">vía oficio informó </w:t>
      </w:r>
      <w:r>
        <w:rPr>
          <w:rFonts w:eastAsia="Arial" w:cs="Arial"/>
        </w:rPr>
        <w:t xml:space="preserve">acerca </w:t>
      </w:r>
      <w:r w:rsidRPr="00F01861">
        <w:rPr>
          <w:rFonts w:eastAsia="Arial" w:cs="Arial"/>
        </w:rPr>
        <w:t xml:space="preserve">de las dependencias responsables y resguardantes de 16 conjuntos de información, así como los </w:t>
      </w:r>
      <w:r>
        <w:rPr>
          <w:rFonts w:eastAsia="Arial" w:cs="Arial"/>
        </w:rPr>
        <w:t>hipervínculos</w:t>
      </w:r>
      <w:r w:rsidRPr="00F01861">
        <w:rPr>
          <w:rFonts w:eastAsia="Arial" w:cs="Arial"/>
        </w:rPr>
        <w:t xml:space="preserve"> en los que se encontraba dicha información. </w:t>
      </w:r>
      <w:r>
        <w:rPr>
          <w:rFonts w:eastAsia="Arial" w:cs="Arial"/>
        </w:rPr>
        <w:t>Por lo anterior, s</w:t>
      </w:r>
      <w:r w:rsidRPr="00F01861">
        <w:rPr>
          <w:rFonts w:eastAsia="Arial" w:cs="Arial"/>
        </w:rPr>
        <w:t xml:space="preserve">e está realizando una revisión minuciosa de los </w:t>
      </w:r>
      <w:r>
        <w:rPr>
          <w:rFonts w:eastAsia="Arial" w:cs="Arial"/>
        </w:rPr>
        <w:t>sitios</w:t>
      </w:r>
      <w:r w:rsidRPr="00F01861">
        <w:rPr>
          <w:rFonts w:eastAsia="Arial" w:cs="Arial"/>
        </w:rPr>
        <w:t xml:space="preserve"> proporcionados sobre dichos conjuntos para validar que </w:t>
      </w:r>
      <w:r w:rsidRPr="00F01861">
        <w:rPr>
          <w:rFonts w:eastAsia="Arial" w:cs="Arial"/>
        </w:rPr>
        <w:lastRenderedPageBreak/>
        <w:t xml:space="preserve">realmente contengan los datos referidos, así </w:t>
      </w:r>
      <w:r>
        <w:rPr>
          <w:rFonts w:eastAsia="Arial" w:cs="Arial"/>
        </w:rPr>
        <w:t>la</w:t>
      </w:r>
      <w:r w:rsidRPr="00F01861">
        <w:rPr>
          <w:rFonts w:eastAsia="Arial" w:cs="Arial"/>
        </w:rPr>
        <w:t xml:space="preserve"> pertinencia de la información, actualización, continuidad, exactitud y comparabilidad.</w:t>
      </w:r>
    </w:p>
    <w:p w14:paraId="0B31BF18" w14:textId="77777777" w:rsidR="00C7680C" w:rsidRDefault="00C7680C" w:rsidP="00C7680C">
      <w:pPr>
        <w:rPr>
          <w:rFonts w:eastAsia="Arial" w:cs="Arial"/>
        </w:rPr>
      </w:pPr>
    </w:p>
    <w:p w14:paraId="0E7CA994" w14:textId="77777777" w:rsidR="00C7680C" w:rsidRDefault="00C7680C" w:rsidP="00C7680C">
      <w:pPr>
        <w:rPr>
          <w:rFonts w:eastAsia="Arial" w:cs="Arial"/>
        </w:rPr>
      </w:pPr>
      <w:r>
        <w:rPr>
          <w:rFonts w:eastAsia="Arial" w:cs="Arial"/>
        </w:rPr>
        <w:t xml:space="preserve">Con relación al Acuerdo </w:t>
      </w:r>
      <w:r>
        <w:rPr>
          <w:rFonts w:eastAsia="Arial" w:cs="Arial"/>
          <w:b/>
        </w:rPr>
        <w:t>A.CE.2020.8</w:t>
      </w:r>
      <w:r>
        <w:rPr>
          <w:rFonts w:eastAsia="Arial" w:cs="Arial"/>
        </w:rPr>
        <w:t xml:space="preserve">, </w:t>
      </w:r>
      <w:r w:rsidRPr="0047181A">
        <w:rPr>
          <w:rFonts w:eastAsia="Arial" w:cs="Arial"/>
        </w:rPr>
        <w:t>relativo a las “Pautas Metodológicas para la Integración de Investigación por presuntas responsabilidades administrativas”,</w:t>
      </w:r>
      <w:r>
        <w:rPr>
          <w:rFonts w:eastAsia="Arial" w:cs="Arial"/>
        </w:rPr>
        <w:t xml:space="preserve"> la Secretaria Técnica destaca que </w:t>
      </w:r>
      <w:r w:rsidRPr="0047181A">
        <w:rPr>
          <w:rFonts w:eastAsia="Arial" w:cs="Arial"/>
        </w:rPr>
        <w:t>el 10 de agosto se present</w:t>
      </w:r>
      <w:r>
        <w:rPr>
          <w:rFonts w:eastAsia="Arial" w:cs="Arial"/>
        </w:rPr>
        <w:t xml:space="preserve">ó dicho documento </w:t>
      </w:r>
      <w:r w:rsidRPr="0047181A">
        <w:rPr>
          <w:rFonts w:eastAsia="Arial" w:cs="Arial"/>
        </w:rPr>
        <w:t>para conocimiento del Comité Coordinador</w:t>
      </w:r>
      <w:r>
        <w:rPr>
          <w:rFonts w:eastAsia="Arial" w:cs="Arial"/>
        </w:rPr>
        <w:t xml:space="preserve">, </w:t>
      </w:r>
      <w:r w:rsidRPr="0047181A">
        <w:rPr>
          <w:rFonts w:eastAsia="Arial" w:cs="Arial"/>
        </w:rPr>
        <w:t xml:space="preserve">y de ahí se derivó la realización de un Tutorial por parte del área de Desarrollo de Capacidades de la Secretaría, el cual es probable que esté ya disponible </w:t>
      </w:r>
      <w:r>
        <w:rPr>
          <w:rFonts w:eastAsia="Arial" w:cs="Arial"/>
        </w:rPr>
        <w:t>en octubre</w:t>
      </w:r>
      <w:r w:rsidRPr="0047181A">
        <w:rPr>
          <w:rFonts w:eastAsia="Arial" w:cs="Arial"/>
        </w:rPr>
        <w:t xml:space="preserve">, </w:t>
      </w:r>
      <w:r>
        <w:rPr>
          <w:rFonts w:eastAsia="Arial" w:cs="Arial"/>
        </w:rPr>
        <w:t>y reitera que se cuenta con el apoyo</w:t>
      </w:r>
      <w:r w:rsidRPr="0047181A">
        <w:rPr>
          <w:rFonts w:eastAsia="Arial" w:cs="Arial"/>
        </w:rPr>
        <w:t xml:space="preserve"> de la Contraloría </w:t>
      </w:r>
      <w:r>
        <w:rPr>
          <w:rFonts w:eastAsia="Arial" w:cs="Arial"/>
        </w:rPr>
        <w:t>para</w:t>
      </w:r>
      <w:r w:rsidRPr="0047181A">
        <w:rPr>
          <w:rFonts w:eastAsia="Arial" w:cs="Arial"/>
        </w:rPr>
        <w:t xml:space="preserve"> la comprensión del proceso por parte de quienes integran los IPRA.</w:t>
      </w:r>
    </w:p>
    <w:p w14:paraId="5F824C89" w14:textId="77777777" w:rsidR="00C7680C" w:rsidRDefault="00C7680C" w:rsidP="00C7680C">
      <w:pPr>
        <w:rPr>
          <w:rFonts w:eastAsia="Arial" w:cs="Arial"/>
        </w:rPr>
      </w:pPr>
    </w:p>
    <w:p w14:paraId="24BEFF55" w14:textId="77777777" w:rsidR="00C7680C" w:rsidRDefault="00C7680C" w:rsidP="00C7680C">
      <w:pPr>
        <w:rPr>
          <w:rFonts w:eastAsia="Arial" w:cs="Arial"/>
        </w:rPr>
      </w:pPr>
      <w:r w:rsidRPr="003215D9">
        <w:rPr>
          <w:rFonts w:eastAsia="Arial" w:cs="Arial"/>
        </w:rPr>
        <w:t xml:space="preserve">Por último, respecto al Acuerdo </w:t>
      </w:r>
      <w:r w:rsidRPr="003215D9">
        <w:rPr>
          <w:rFonts w:eastAsia="Arial" w:cs="Arial"/>
          <w:b/>
        </w:rPr>
        <w:t>A.CE.2020.11,</w:t>
      </w:r>
      <w:r w:rsidRPr="003215D9">
        <w:rPr>
          <w:rFonts w:eastAsia="Arial" w:cs="Arial"/>
        </w:rPr>
        <w:t xml:space="preserve"> relativo al Plan Maestro para el desarrollo del Sistema Electrónico de Quejas y Denuncias, la Secretaria Técnica informa que se realizó una revisión de la guía emitida para denunciar presuntos actos de corrupción y faltas administrativas: se identificaron los actores involucrados en el proceso para la definición de casos de uso del sistema, se realizó un estudio tipo </w:t>
      </w:r>
      <w:r w:rsidRPr="003215D9">
        <w:rPr>
          <w:rFonts w:eastAsia="Arial" w:cs="Arial"/>
          <w:i/>
          <w:iCs/>
        </w:rPr>
        <w:t>benchmarking</w:t>
      </w:r>
      <w:r w:rsidRPr="003215D9">
        <w:rPr>
          <w:rFonts w:eastAsia="Arial" w:cs="Arial"/>
        </w:rPr>
        <w:t xml:space="preserve"> de otros sistemas de denuncias, que abarcó 19 casos, de los cuales 10 son internacionales y 9 a nivel nacional. Con dicha base de datos se puede definir una primera propuesta de funcionamiento general del SEQD. También resalta que se estableció comunicación con el equipo de la PDN para verificar el estado que guarda el estándar de datos que será empleado para el desarrollo del S5 -ya que es parte de los seis sistemas que integran la PDN, y aún no se encuentra en desarrollo-, con la intención de lo que se desarrolle por parte de Secretaría sea interoperable con lo que después habrá en la PDN. Por último</w:t>
      </w:r>
      <w:r>
        <w:rPr>
          <w:rFonts w:eastAsia="Arial" w:cs="Arial"/>
        </w:rPr>
        <w:t>,</w:t>
      </w:r>
      <w:r w:rsidRPr="003215D9">
        <w:rPr>
          <w:rFonts w:eastAsia="Arial" w:cs="Arial"/>
        </w:rPr>
        <w:t xml:space="preserve"> menciona que se trabaja en el modelado de los procesos de atención de quejas y denuncias para establecer la lógica de funcionamiento.</w:t>
      </w:r>
    </w:p>
    <w:p w14:paraId="4E56385E" w14:textId="77777777" w:rsidR="00C7680C" w:rsidRDefault="00C7680C" w:rsidP="00C7680C">
      <w:pPr>
        <w:rPr>
          <w:rFonts w:eastAsia="Arial" w:cs="Arial"/>
        </w:rPr>
      </w:pPr>
    </w:p>
    <w:p w14:paraId="5CBD5BD8" w14:textId="77777777" w:rsidR="00C7680C" w:rsidRDefault="00C7680C" w:rsidP="00C7680C">
      <w:pPr>
        <w:rPr>
          <w:rFonts w:eastAsia="Arial" w:cs="Arial"/>
        </w:rPr>
      </w:pPr>
      <w:r>
        <w:rPr>
          <w:rFonts w:eastAsia="Arial" w:cs="Arial"/>
        </w:rPr>
        <w:t xml:space="preserve">La Secretaria Técnica explica que los demás acuerdos se encuentran concluidos. Consulta si existe algún comentario respecto a lo expuesto. Al no haberlos, prosigue con el siguiente punto. </w:t>
      </w:r>
    </w:p>
    <w:p w14:paraId="30E93515" w14:textId="77777777" w:rsidR="009C77E9" w:rsidRDefault="009C77E9" w:rsidP="009C77E9">
      <w:pPr>
        <w:rPr>
          <w:rFonts w:eastAsia="Arial" w:cs="Arial"/>
          <w:b/>
          <w:bCs/>
          <w:color w:val="006078"/>
          <w:szCs w:val="22"/>
        </w:rPr>
      </w:pPr>
    </w:p>
    <w:p w14:paraId="2B2C8118" w14:textId="72C36F83" w:rsidR="004B616A" w:rsidRPr="004B616A" w:rsidRDefault="004B616A" w:rsidP="00EC6B98">
      <w:pPr>
        <w:pStyle w:val="Prrafodelista"/>
        <w:numPr>
          <w:ilvl w:val="0"/>
          <w:numId w:val="1"/>
        </w:numPr>
        <w:rPr>
          <w:rFonts w:eastAsia="Arial" w:cs="Arial"/>
          <w:b/>
          <w:bCs/>
          <w:color w:val="006078"/>
          <w:szCs w:val="22"/>
        </w:rPr>
      </w:pPr>
      <w:bookmarkStart w:id="0" w:name="_Hlk42520280"/>
      <w:r w:rsidRPr="004B616A">
        <w:rPr>
          <w:rFonts w:eastAsia="Arial" w:cs="Arial"/>
          <w:b/>
          <w:bCs/>
          <w:color w:val="006078"/>
          <w:szCs w:val="22"/>
        </w:rPr>
        <w:t xml:space="preserve">Presentación y, en su caso, aprobación de la propuesta de Política Estatal Anticorrupción de Jalisco, que se presentará al Comité Coordinador </w:t>
      </w:r>
    </w:p>
    <w:p w14:paraId="325314A3" w14:textId="77777777" w:rsidR="00771A6F" w:rsidRDefault="00771A6F" w:rsidP="00CD0D2D">
      <w:pPr>
        <w:pStyle w:val="Prrafodelista"/>
        <w:jc w:val="both"/>
        <w:rPr>
          <w:rFonts w:eastAsia="Arial" w:cs="Arial"/>
          <w:szCs w:val="22"/>
          <w:highlight w:val="white"/>
        </w:rPr>
      </w:pPr>
    </w:p>
    <w:bookmarkEnd w:id="0"/>
    <w:p w14:paraId="63DF9851" w14:textId="77777777" w:rsidR="00B275B1" w:rsidRDefault="00B275B1" w:rsidP="00B275B1">
      <w:pPr>
        <w:rPr>
          <w:rFonts w:eastAsia="Arial" w:cs="Arial"/>
        </w:rPr>
      </w:pPr>
    </w:p>
    <w:p w14:paraId="1D0DE4B6" w14:textId="24010A1A" w:rsidR="00CD4FDF" w:rsidRDefault="00CD4FDF" w:rsidP="00CD4FDF">
      <w:pPr>
        <w:rPr>
          <w:rFonts w:eastAsia="Arial" w:cs="Arial"/>
        </w:rPr>
      </w:pPr>
      <w:r>
        <w:rPr>
          <w:rFonts w:eastAsia="Arial" w:cs="Arial"/>
        </w:rPr>
        <w:t xml:space="preserve">La Secretaria Técnica aclara </w:t>
      </w:r>
      <w:r w:rsidR="007220A8">
        <w:rPr>
          <w:rFonts w:eastAsia="Arial" w:cs="Arial"/>
        </w:rPr>
        <w:t>que,</w:t>
      </w:r>
      <w:r>
        <w:rPr>
          <w:rFonts w:eastAsia="Arial" w:cs="Arial"/>
        </w:rPr>
        <w:t xml:space="preserve"> dado que el material relativo al punto ya se tuvo la oportunidad de revisarlo, no se hará una lectura exhaustiva del documento, sino que realizará una descripción elemental. </w:t>
      </w:r>
    </w:p>
    <w:p w14:paraId="42597BA9" w14:textId="77777777" w:rsidR="00CD4FDF" w:rsidRDefault="00CD4FDF" w:rsidP="00CD4FDF">
      <w:pPr>
        <w:rPr>
          <w:rFonts w:eastAsia="Arial" w:cs="Arial"/>
        </w:rPr>
      </w:pPr>
    </w:p>
    <w:p w14:paraId="390BE63F" w14:textId="7DE9D63C" w:rsidR="00CD4FDF" w:rsidRDefault="00CD4FDF" w:rsidP="00CD4FDF">
      <w:pPr>
        <w:rPr>
          <w:rFonts w:eastAsia="Arial" w:cs="Arial"/>
        </w:rPr>
      </w:pPr>
      <w:r>
        <w:rPr>
          <w:rFonts w:eastAsia="Arial" w:cs="Arial"/>
        </w:rPr>
        <w:t>Inicia la Secretaria Técnica con la fundamentación jurídica: el a</w:t>
      </w:r>
      <w:r w:rsidRPr="00A61826">
        <w:rPr>
          <w:rFonts w:eastAsia="Arial" w:cs="Arial"/>
        </w:rPr>
        <w:t>rtículo 31</w:t>
      </w:r>
      <w:r>
        <w:rPr>
          <w:rFonts w:eastAsia="Arial" w:cs="Arial"/>
        </w:rPr>
        <w:t xml:space="preserve"> de la </w:t>
      </w:r>
      <w:r w:rsidRPr="00A61826">
        <w:rPr>
          <w:rFonts w:eastAsia="Arial" w:cs="Arial"/>
        </w:rPr>
        <w:t xml:space="preserve">Ley del Sistema Anticorrupción del Estado de Jalisco señala </w:t>
      </w:r>
      <w:r>
        <w:rPr>
          <w:rFonts w:eastAsia="Arial" w:cs="Arial"/>
        </w:rPr>
        <w:t>en el punto</w:t>
      </w:r>
      <w:r w:rsidRPr="00A61826">
        <w:rPr>
          <w:rFonts w:eastAsia="Arial" w:cs="Arial"/>
        </w:rPr>
        <w:t xml:space="preserve"> 1 que la Comisión Ejecutiva tendrá a su cargo la generación de los insumos técnicos necesarios para que el Comité Coordinador realice sus funciones, por lo que elaborará las siguientes propuestas para ser sometidas a la aprobación de dicho </w:t>
      </w:r>
      <w:r>
        <w:rPr>
          <w:rFonts w:eastAsia="Arial" w:cs="Arial"/>
        </w:rPr>
        <w:t>C</w:t>
      </w:r>
      <w:r w:rsidRPr="00A61826">
        <w:rPr>
          <w:rFonts w:eastAsia="Arial" w:cs="Arial"/>
        </w:rPr>
        <w:t>omité</w:t>
      </w:r>
      <w:r>
        <w:rPr>
          <w:rFonts w:eastAsia="Arial" w:cs="Arial"/>
        </w:rPr>
        <w:t>; fracción I,</w:t>
      </w:r>
      <w:r w:rsidRPr="00A61826">
        <w:rPr>
          <w:rFonts w:eastAsia="Arial" w:cs="Arial"/>
        </w:rPr>
        <w:t xml:space="preserve"> las políticas integrales en materia de prevención, control y disuasión de faltas administrativas y hechos de corrupción, así como de fiscalización y control de recursos públicos; </w:t>
      </w:r>
      <w:r>
        <w:rPr>
          <w:rFonts w:eastAsia="Arial" w:cs="Arial"/>
        </w:rPr>
        <w:t>fracción II,</w:t>
      </w:r>
      <w:r w:rsidRPr="00A61826">
        <w:rPr>
          <w:rFonts w:eastAsia="Arial" w:cs="Arial"/>
        </w:rPr>
        <w:t xml:space="preserve"> la metodología para medir y dar seguimiento, con base en indicadores aceptados y confiables a los fenómenos de corrupción</w:t>
      </w:r>
      <w:r>
        <w:rPr>
          <w:rFonts w:eastAsia="Arial" w:cs="Arial"/>
        </w:rPr>
        <w:t>,</w:t>
      </w:r>
      <w:r w:rsidRPr="00A61826">
        <w:rPr>
          <w:rFonts w:eastAsia="Arial" w:cs="Arial"/>
        </w:rPr>
        <w:t xml:space="preserve"> así como a las políticas integrales a que se refiere la fracción anterior.</w:t>
      </w:r>
    </w:p>
    <w:p w14:paraId="0ECCC5D1" w14:textId="77777777" w:rsidR="00CD4FDF" w:rsidRDefault="00CD4FDF" w:rsidP="00CD4FDF">
      <w:pPr>
        <w:rPr>
          <w:rFonts w:eastAsia="Arial" w:cs="Arial"/>
        </w:rPr>
      </w:pPr>
    </w:p>
    <w:p w14:paraId="188CDE59" w14:textId="60CDACE1" w:rsidR="00CD4FDF" w:rsidRDefault="00CD4FDF" w:rsidP="00CD4FDF">
      <w:pPr>
        <w:rPr>
          <w:rFonts w:eastAsia="Arial" w:cs="Arial"/>
        </w:rPr>
      </w:pPr>
      <w:r>
        <w:rPr>
          <w:rFonts w:eastAsia="Arial" w:cs="Arial"/>
        </w:rPr>
        <w:lastRenderedPageBreak/>
        <w:t>La Secretaria Técnica resalta que dentro de las funciones del Secretario Técnico,</w:t>
      </w:r>
      <w:r w:rsidRPr="00AF1EF8">
        <w:rPr>
          <w:rFonts w:eastAsia="Arial" w:cs="Arial"/>
        </w:rPr>
        <w:t xml:space="preserve"> </w:t>
      </w:r>
      <w:r>
        <w:rPr>
          <w:rFonts w:eastAsia="Arial" w:cs="Arial"/>
        </w:rPr>
        <w:t xml:space="preserve">en el </w:t>
      </w:r>
      <w:r w:rsidRPr="00AF1EF8">
        <w:rPr>
          <w:rFonts w:eastAsia="Arial" w:cs="Arial"/>
        </w:rPr>
        <w:t>artículo 35</w:t>
      </w:r>
      <w:r>
        <w:rPr>
          <w:rFonts w:eastAsia="Arial" w:cs="Arial"/>
        </w:rPr>
        <w:t xml:space="preserve">, </w:t>
      </w:r>
      <w:r w:rsidRPr="00AF1EF8">
        <w:rPr>
          <w:rFonts w:eastAsia="Arial" w:cs="Arial"/>
        </w:rPr>
        <w:t>punto 2 fracción IV</w:t>
      </w:r>
      <w:r>
        <w:rPr>
          <w:rFonts w:eastAsia="Arial" w:cs="Arial"/>
        </w:rPr>
        <w:t>, se establece e</w:t>
      </w:r>
      <w:r w:rsidRPr="00AF1EF8">
        <w:rPr>
          <w:rFonts w:eastAsia="Arial" w:cs="Arial"/>
        </w:rPr>
        <w:t xml:space="preserve">laborar los anteproyectos de metodologías, indicadores y políticas integrales para ser discutidas en la Comisión Ejecutiva y, en su caso, sometidas a la consideración del Comité Coordinador; </w:t>
      </w:r>
      <w:r>
        <w:rPr>
          <w:rFonts w:eastAsia="Arial" w:cs="Arial"/>
        </w:rPr>
        <w:t xml:space="preserve">fracción </w:t>
      </w:r>
      <w:r w:rsidRPr="00AF1EF8">
        <w:rPr>
          <w:rFonts w:eastAsia="Arial" w:cs="Arial"/>
        </w:rPr>
        <w:t>V</w:t>
      </w:r>
      <w:r>
        <w:rPr>
          <w:rFonts w:eastAsia="Arial" w:cs="Arial"/>
        </w:rPr>
        <w:t>, p</w:t>
      </w:r>
      <w:r w:rsidRPr="00AF1EF8">
        <w:rPr>
          <w:rFonts w:eastAsia="Arial" w:cs="Arial"/>
        </w:rPr>
        <w:t xml:space="preserve">roponer a la Comisión Ejecutiva el proyecto de evaluaciones que se llevarán a cabo de las políticas estatales a que se refiere esta </w:t>
      </w:r>
      <w:r>
        <w:rPr>
          <w:rFonts w:eastAsia="Arial" w:cs="Arial"/>
        </w:rPr>
        <w:t>l</w:t>
      </w:r>
      <w:r w:rsidRPr="00AF1EF8">
        <w:rPr>
          <w:rFonts w:eastAsia="Arial" w:cs="Arial"/>
        </w:rPr>
        <w:t>ey y</w:t>
      </w:r>
      <w:r>
        <w:rPr>
          <w:rFonts w:eastAsia="Arial" w:cs="Arial"/>
        </w:rPr>
        <w:t>,</w:t>
      </w:r>
      <w:r w:rsidRPr="00AF1EF8">
        <w:rPr>
          <w:rFonts w:eastAsia="Arial" w:cs="Arial"/>
        </w:rPr>
        <w:t xml:space="preserve"> una vez aprobadas, realizarlas. </w:t>
      </w:r>
      <w:r>
        <w:rPr>
          <w:rFonts w:eastAsia="Arial" w:cs="Arial"/>
        </w:rPr>
        <w:t>Además, dicho proyecto es uno</w:t>
      </w:r>
      <w:r w:rsidRPr="00AF1EF8">
        <w:rPr>
          <w:rFonts w:eastAsia="Arial" w:cs="Arial"/>
        </w:rPr>
        <w:t xml:space="preserve"> de los </w:t>
      </w:r>
      <w:r>
        <w:rPr>
          <w:rFonts w:eastAsia="Arial" w:cs="Arial"/>
        </w:rPr>
        <w:t>cinco</w:t>
      </w:r>
      <w:r w:rsidRPr="00AF1EF8">
        <w:rPr>
          <w:rFonts w:eastAsia="Arial" w:cs="Arial"/>
        </w:rPr>
        <w:t xml:space="preserve"> objetivos estratégicos del Plan de Trabajo</w:t>
      </w:r>
      <w:r>
        <w:rPr>
          <w:rFonts w:eastAsia="Arial" w:cs="Arial"/>
        </w:rPr>
        <w:t xml:space="preserve"> </w:t>
      </w:r>
      <w:r w:rsidRPr="00AF1EF8">
        <w:rPr>
          <w:rFonts w:eastAsia="Arial" w:cs="Arial"/>
        </w:rPr>
        <w:t>Anual del Comité Coordinador</w:t>
      </w:r>
      <w:r>
        <w:rPr>
          <w:rFonts w:eastAsia="Arial" w:cs="Arial"/>
        </w:rPr>
        <w:t xml:space="preserve">: </w:t>
      </w:r>
      <w:r w:rsidRPr="00AF1EF8">
        <w:rPr>
          <w:rFonts w:eastAsia="Arial" w:cs="Arial"/>
        </w:rPr>
        <w:t>“</w:t>
      </w:r>
      <w:r>
        <w:rPr>
          <w:rFonts w:eastAsia="Arial" w:cs="Arial"/>
        </w:rPr>
        <w:t>a</w:t>
      </w:r>
      <w:r w:rsidRPr="00AF1EF8">
        <w:rPr>
          <w:rFonts w:eastAsia="Arial" w:cs="Arial"/>
        </w:rPr>
        <w:t>probar la Política Estatal Anticorrupción de Jalisco”.</w:t>
      </w:r>
    </w:p>
    <w:p w14:paraId="4D6E184B" w14:textId="77777777" w:rsidR="00CD4FDF" w:rsidRDefault="00CD4FDF" w:rsidP="00CD4FDF">
      <w:pPr>
        <w:rPr>
          <w:rFonts w:eastAsia="Arial" w:cs="Arial"/>
        </w:rPr>
      </w:pPr>
    </w:p>
    <w:p w14:paraId="6F3ABF8A" w14:textId="13A6C5F2" w:rsidR="00CD4FDF" w:rsidRDefault="00CD4FDF" w:rsidP="00CD4FDF">
      <w:pPr>
        <w:rPr>
          <w:rFonts w:eastAsia="Arial" w:cs="Arial"/>
        </w:rPr>
      </w:pPr>
      <w:r>
        <w:rPr>
          <w:rFonts w:eastAsia="Arial" w:cs="Arial"/>
        </w:rPr>
        <w:t xml:space="preserve">La Secretaria Técnica expone la estructura del documento: </w:t>
      </w:r>
    </w:p>
    <w:p w14:paraId="0004A072" w14:textId="77777777" w:rsidR="00CD4FDF" w:rsidRDefault="00CD4FDF" w:rsidP="00CD4FDF">
      <w:pPr>
        <w:rPr>
          <w:rFonts w:eastAsia="Arial" w:cs="Arial"/>
        </w:rPr>
      </w:pPr>
    </w:p>
    <w:p w14:paraId="3BD30EB7" w14:textId="77777777" w:rsidR="00CD4FDF" w:rsidRPr="00416737" w:rsidRDefault="00CD4FDF" w:rsidP="00EC6B98">
      <w:pPr>
        <w:numPr>
          <w:ilvl w:val="0"/>
          <w:numId w:val="10"/>
        </w:numPr>
        <w:rPr>
          <w:rFonts w:eastAsia="Arial" w:cs="Arial"/>
          <w:lang w:val="es-MX"/>
        </w:rPr>
      </w:pPr>
      <w:r w:rsidRPr="00416737">
        <w:rPr>
          <w:rFonts w:eastAsia="Arial" w:cs="Arial"/>
        </w:rPr>
        <w:t xml:space="preserve">Proceso de elaboración de la Política </w:t>
      </w:r>
      <w:r>
        <w:rPr>
          <w:rFonts w:eastAsia="Arial" w:cs="Arial"/>
        </w:rPr>
        <w:t xml:space="preserve">Estatal </w:t>
      </w:r>
      <w:r w:rsidRPr="00416737">
        <w:rPr>
          <w:rFonts w:eastAsia="Arial" w:cs="Arial"/>
        </w:rPr>
        <w:t>Anticorrupción de Jalisco</w:t>
      </w:r>
    </w:p>
    <w:p w14:paraId="2AE84671" w14:textId="77777777" w:rsidR="00CD4FDF" w:rsidRPr="00416737" w:rsidRDefault="00CD4FDF" w:rsidP="00EC6B98">
      <w:pPr>
        <w:numPr>
          <w:ilvl w:val="0"/>
          <w:numId w:val="10"/>
        </w:numPr>
        <w:rPr>
          <w:rFonts w:eastAsia="Arial" w:cs="Arial"/>
          <w:lang w:val="es-MX"/>
        </w:rPr>
      </w:pPr>
      <w:r w:rsidRPr="00416737">
        <w:rPr>
          <w:rFonts w:eastAsia="Arial" w:cs="Arial"/>
        </w:rPr>
        <w:t xml:space="preserve">La Política Nacional Anticorrupción </w:t>
      </w:r>
    </w:p>
    <w:p w14:paraId="2BE32D3A" w14:textId="77777777" w:rsidR="00CD4FDF" w:rsidRPr="00416737" w:rsidRDefault="00CD4FDF" w:rsidP="00EC6B98">
      <w:pPr>
        <w:numPr>
          <w:ilvl w:val="0"/>
          <w:numId w:val="10"/>
        </w:numPr>
        <w:rPr>
          <w:rFonts w:eastAsia="Arial" w:cs="Arial"/>
          <w:lang w:val="es-MX"/>
        </w:rPr>
      </w:pPr>
      <w:r w:rsidRPr="00416737">
        <w:rPr>
          <w:rFonts w:eastAsia="Arial" w:cs="Arial"/>
        </w:rPr>
        <w:t>Visión teórica y métodos utilizados</w:t>
      </w:r>
    </w:p>
    <w:p w14:paraId="454ACB2F" w14:textId="77777777" w:rsidR="00CD4FDF" w:rsidRPr="00416737" w:rsidRDefault="00CD4FDF" w:rsidP="00EC6B98">
      <w:pPr>
        <w:numPr>
          <w:ilvl w:val="0"/>
          <w:numId w:val="10"/>
        </w:numPr>
        <w:rPr>
          <w:rFonts w:eastAsia="Arial" w:cs="Arial"/>
          <w:lang w:val="es-MX"/>
        </w:rPr>
      </w:pPr>
      <w:r w:rsidRPr="00416737">
        <w:rPr>
          <w:rFonts w:eastAsia="Arial" w:cs="Arial"/>
        </w:rPr>
        <w:t>Marco normativo y alcance</w:t>
      </w:r>
    </w:p>
    <w:p w14:paraId="61619DFE" w14:textId="77777777" w:rsidR="00CD4FDF" w:rsidRPr="00416737" w:rsidRDefault="00CD4FDF" w:rsidP="00EC6B98">
      <w:pPr>
        <w:numPr>
          <w:ilvl w:val="0"/>
          <w:numId w:val="10"/>
        </w:numPr>
        <w:rPr>
          <w:rFonts w:eastAsia="Arial" w:cs="Arial"/>
          <w:lang w:val="es-MX"/>
        </w:rPr>
      </w:pPr>
      <w:r w:rsidRPr="00416737">
        <w:rPr>
          <w:rFonts w:eastAsia="Arial" w:cs="Arial"/>
        </w:rPr>
        <w:t>Conceptualización de la corrupción</w:t>
      </w:r>
    </w:p>
    <w:p w14:paraId="78F703E5" w14:textId="77777777" w:rsidR="00CD4FDF" w:rsidRPr="002D06A7" w:rsidRDefault="00CD4FDF" w:rsidP="00EC6B98">
      <w:pPr>
        <w:numPr>
          <w:ilvl w:val="0"/>
          <w:numId w:val="10"/>
        </w:numPr>
        <w:rPr>
          <w:rFonts w:eastAsia="Arial" w:cs="Arial"/>
          <w:lang w:val="es-MX"/>
        </w:rPr>
      </w:pPr>
      <w:r w:rsidRPr="002D06A7">
        <w:rPr>
          <w:rFonts w:eastAsia="Arial" w:cs="Arial"/>
          <w:lang w:val="es-MX"/>
        </w:rPr>
        <w:t>La corrupción como problema público</w:t>
      </w:r>
    </w:p>
    <w:p w14:paraId="375D543D" w14:textId="77777777" w:rsidR="00CD4FDF" w:rsidRPr="002D06A7" w:rsidRDefault="00CD4FDF" w:rsidP="00EC6B98">
      <w:pPr>
        <w:numPr>
          <w:ilvl w:val="0"/>
          <w:numId w:val="10"/>
        </w:numPr>
        <w:rPr>
          <w:rFonts w:eastAsia="Arial" w:cs="Arial"/>
          <w:lang w:val="es-MX"/>
        </w:rPr>
      </w:pPr>
      <w:r w:rsidRPr="002D06A7">
        <w:rPr>
          <w:rFonts w:eastAsia="Arial" w:cs="Arial"/>
          <w:lang w:val="es-MX"/>
        </w:rPr>
        <w:t>Diagnóstico</w:t>
      </w:r>
    </w:p>
    <w:p w14:paraId="12757F4E" w14:textId="77777777" w:rsidR="00CD4FDF" w:rsidRPr="002D06A7" w:rsidRDefault="00CD4FDF" w:rsidP="00EC6B98">
      <w:pPr>
        <w:numPr>
          <w:ilvl w:val="0"/>
          <w:numId w:val="10"/>
        </w:numPr>
        <w:rPr>
          <w:rFonts w:eastAsia="Arial" w:cs="Arial"/>
          <w:lang w:val="es-MX"/>
        </w:rPr>
      </w:pPr>
      <w:r w:rsidRPr="002D06A7">
        <w:rPr>
          <w:rFonts w:eastAsia="Arial" w:cs="Arial"/>
          <w:lang w:val="es-MX"/>
        </w:rPr>
        <w:t>Prioridades nacionales, ejes estratégicos, objetivos y transversalidades para Jalisco</w:t>
      </w:r>
    </w:p>
    <w:p w14:paraId="40A19054" w14:textId="77777777" w:rsidR="00CD4FDF" w:rsidRPr="002D06A7" w:rsidRDefault="00CD4FDF" w:rsidP="00EC6B98">
      <w:pPr>
        <w:numPr>
          <w:ilvl w:val="0"/>
          <w:numId w:val="10"/>
        </w:numPr>
        <w:rPr>
          <w:rFonts w:eastAsia="Arial" w:cs="Arial"/>
          <w:lang w:val="es-MX"/>
        </w:rPr>
      </w:pPr>
      <w:r w:rsidRPr="002D06A7">
        <w:rPr>
          <w:rFonts w:eastAsia="Arial" w:cs="Arial"/>
          <w:lang w:val="es-MX"/>
        </w:rPr>
        <w:t>Implementación</w:t>
      </w:r>
    </w:p>
    <w:p w14:paraId="112ABAD0" w14:textId="77777777" w:rsidR="00CD4FDF" w:rsidRPr="002D06A7" w:rsidRDefault="00CD4FDF" w:rsidP="00EC6B98">
      <w:pPr>
        <w:numPr>
          <w:ilvl w:val="0"/>
          <w:numId w:val="10"/>
        </w:numPr>
        <w:rPr>
          <w:rFonts w:eastAsia="Arial" w:cs="Arial"/>
          <w:lang w:val="es-MX"/>
        </w:rPr>
      </w:pPr>
      <w:r w:rsidRPr="002D06A7">
        <w:rPr>
          <w:rFonts w:eastAsia="Arial" w:cs="Arial"/>
          <w:lang w:val="es-MX"/>
        </w:rPr>
        <w:t xml:space="preserve">Seguimiento y evaluación </w:t>
      </w:r>
    </w:p>
    <w:p w14:paraId="2F4D7E4D" w14:textId="77777777" w:rsidR="00CD4FDF" w:rsidRPr="002D06A7" w:rsidRDefault="00CD4FDF" w:rsidP="00CD4FDF">
      <w:pPr>
        <w:ind w:left="720"/>
        <w:rPr>
          <w:rFonts w:eastAsia="Arial" w:cs="Arial"/>
          <w:lang w:val="es-MX"/>
        </w:rPr>
      </w:pPr>
      <w:r w:rsidRPr="002D06A7">
        <w:rPr>
          <w:rFonts w:eastAsia="Arial" w:cs="Arial"/>
          <w:lang w:val="es-MX"/>
        </w:rPr>
        <w:t>Bibliografía y fuentes de información</w:t>
      </w:r>
    </w:p>
    <w:p w14:paraId="4AF3276A" w14:textId="77777777" w:rsidR="00CD4FDF" w:rsidRDefault="00CD4FDF" w:rsidP="00CD4FDF">
      <w:pPr>
        <w:ind w:left="720"/>
        <w:rPr>
          <w:rFonts w:eastAsia="Arial" w:cs="Arial"/>
          <w:lang w:val="es-MX"/>
        </w:rPr>
      </w:pPr>
      <w:r w:rsidRPr="002D06A7">
        <w:rPr>
          <w:rFonts w:eastAsia="Arial" w:cs="Arial"/>
          <w:lang w:val="es-MX"/>
        </w:rPr>
        <w:t>Anexos</w:t>
      </w:r>
    </w:p>
    <w:p w14:paraId="6D3BE65F" w14:textId="77777777" w:rsidR="00CD4FDF" w:rsidRPr="002D06A7" w:rsidRDefault="00CD4FDF" w:rsidP="00CD4FDF">
      <w:pPr>
        <w:ind w:left="720"/>
        <w:rPr>
          <w:rFonts w:eastAsia="Arial" w:cs="Arial"/>
          <w:lang w:val="es-MX"/>
        </w:rPr>
      </w:pPr>
    </w:p>
    <w:p w14:paraId="2E01B4B0" w14:textId="77777777" w:rsidR="00CD4FDF" w:rsidRDefault="00CD4FDF" w:rsidP="00CD4FDF">
      <w:pPr>
        <w:rPr>
          <w:rFonts w:eastAsia="Arial" w:cs="Arial"/>
        </w:rPr>
      </w:pPr>
      <w:r>
        <w:rPr>
          <w:rFonts w:eastAsia="Arial" w:cs="Arial"/>
        </w:rPr>
        <w:t xml:space="preserve">La Secretaria Técnica reitera que hay </w:t>
      </w:r>
      <w:r w:rsidRPr="002236DA">
        <w:rPr>
          <w:rFonts w:eastAsia="Arial" w:cs="Arial"/>
        </w:rPr>
        <w:t>cuatro ejes estratégicos</w:t>
      </w:r>
      <w:r>
        <w:rPr>
          <w:rFonts w:eastAsia="Arial" w:cs="Arial"/>
        </w:rPr>
        <w:t xml:space="preserve">: </w:t>
      </w:r>
    </w:p>
    <w:p w14:paraId="127D8641" w14:textId="77777777" w:rsidR="00CD4FDF" w:rsidRDefault="00CD4FDF" w:rsidP="00CD4FDF">
      <w:pPr>
        <w:ind w:left="720"/>
        <w:rPr>
          <w:rFonts w:eastAsia="Arial" w:cs="Arial"/>
        </w:rPr>
      </w:pPr>
      <w:r>
        <w:rPr>
          <w:rFonts w:eastAsia="Arial" w:cs="Arial"/>
        </w:rPr>
        <w:t>1) P</w:t>
      </w:r>
      <w:r w:rsidRPr="002236DA">
        <w:rPr>
          <w:rFonts w:eastAsia="Arial" w:cs="Arial"/>
        </w:rPr>
        <w:t xml:space="preserve">romover la integridad y la ética pública, </w:t>
      </w:r>
    </w:p>
    <w:p w14:paraId="74941592" w14:textId="77777777" w:rsidR="00CD4FDF" w:rsidRDefault="00CD4FDF" w:rsidP="00CD4FDF">
      <w:pPr>
        <w:ind w:left="720"/>
        <w:rPr>
          <w:rFonts w:eastAsia="Arial" w:cs="Arial"/>
        </w:rPr>
      </w:pPr>
      <w:r>
        <w:rPr>
          <w:rFonts w:eastAsia="Arial" w:cs="Arial"/>
        </w:rPr>
        <w:t>2) I</w:t>
      </w:r>
      <w:r w:rsidRPr="002236DA">
        <w:rPr>
          <w:rFonts w:eastAsia="Arial" w:cs="Arial"/>
        </w:rPr>
        <w:t xml:space="preserve">mpulsar la participación pública, </w:t>
      </w:r>
    </w:p>
    <w:p w14:paraId="700C7773" w14:textId="77777777" w:rsidR="00CD4FDF" w:rsidRDefault="00CD4FDF" w:rsidP="00CD4FDF">
      <w:pPr>
        <w:ind w:left="720"/>
        <w:rPr>
          <w:rFonts w:eastAsia="Arial" w:cs="Arial"/>
        </w:rPr>
      </w:pPr>
      <w:r>
        <w:rPr>
          <w:rFonts w:eastAsia="Arial" w:cs="Arial"/>
        </w:rPr>
        <w:t>3) D</w:t>
      </w:r>
      <w:r w:rsidRPr="002236DA">
        <w:rPr>
          <w:rFonts w:eastAsia="Arial" w:cs="Arial"/>
        </w:rPr>
        <w:t xml:space="preserve">isminuir la arbitrariedad en la gestión pública; </w:t>
      </w:r>
    </w:p>
    <w:p w14:paraId="294F68E5" w14:textId="77777777" w:rsidR="00CD4FDF" w:rsidRDefault="00CD4FDF" w:rsidP="00CD4FDF">
      <w:pPr>
        <w:ind w:left="720"/>
        <w:rPr>
          <w:rFonts w:eastAsia="Arial" w:cs="Arial"/>
        </w:rPr>
      </w:pPr>
      <w:r w:rsidRPr="002236DA">
        <w:rPr>
          <w:rFonts w:eastAsia="Arial" w:cs="Arial"/>
        </w:rPr>
        <w:t>4</w:t>
      </w:r>
      <w:r>
        <w:rPr>
          <w:rFonts w:eastAsia="Arial" w:cs="Arial"/>
        </w:rPr>
        <w:t>)</w:t>
      </w:r>
      <w:r w:rsidRPr="002236DA">
        <w:rPr>
          <w:rFonts w:eastAsia="Arial" w:cs="Arial"/>
        </w:rPr>
        <w:t xml:space="preserve"> combatir la impunidad. </w:t>
      </w:r>
    </w:p>
    <w:p w14:paraId="6677E53E" w14:textId="77777777" w:rsidR="00CD4FDF" w:rsidRDefault="00CD4FDF" w:rsidP="00CD4FDF">
      <w:pPr>
        <w:rPr>
          <w:rFonts w:eastAsia="Arial" w:cs="Arial"/>
        </w:rPr>
      </w:pPr>
      <w:r>
        <w:rPr>
          <w:rFonts w:eastAsia="Arial" w:cs="Arial"/>
        </w:rPr>
        <w:t>Y</w:t>
      </w:r>
      <w:r w:rsidRPr="002236DA">
        <w:rPr>
          <w:rFonts w:eastAsia="Arial" w:cs="Arial"/>
        </w:rPr>
        <w:t xml:space="preserve"> 5 principios transversales</w:t>
      </w:r>
      <w:r>
        <w:rPr>
          <w:rFonts w:eastAsia="Arial" w:cs="Arial"/>
        </w:rPr>
        <w:t xml:space="preserve">: </w:t>
      </w:r>
    </w:p>
    <w:p w14:paraId="20A26360" w14:textId="77777777" w:rsidR="00CD4FDF" w:rsidRDefault="00CD4FDF" w:rsidP="00CD4FDF">
      <w:pPr>
        <w:ind w:left="720"/>
        <w:rPr>
          <w:rFonts w:eastAsia="Arial" w:cs="Arial"/>
        </w:rPr>
      </w:pPr>
      <w:r>
        <w:rPr>
          <w:rFonts w:eastAsia="Arial" w:cs="Arial"/>
        </w:rPr>
        <w:t>1) P</w:t>
      </w:r>
      <w:r w:rsidRPr="002236DA">
        <w:rPr>
          <w:rFonts w:eastAsia="Arial" w:cs="Arial"/>
        </w:rPr>
        <w:t>rocuración de los derechos humanos</w:t>
      </w:r>
      <w:r>
        <w:rPr>
          <w:rFonts w:eastAsia="Arial" w:cs="Arial"/>
        </w:rPr>
        <w:t>,</w:t>
      </w:r>
      <w:r w:rsidRPr="002236DA">
        <w:rPr>
          <w:rFonts w:eastAsia="Arial" w:cs="Arial"/>
        </w:rPr>
        <w:t xml:space="preserve"> </w:t>
      </w:r>
    </w:p>
    <w:p w14:paraId="10CB2A47" w14:textId="77777777" w:rsidR="00CD4FDF" w:rsidRDefault="00CD4FDF" w:rsidP="00CD4FDF">
      <w:pPr>
        <w:ind w:left="720"/>
        <w:rPr>
          <w:rFonts w:eastAsia="Arial" w:cs="Arial"/>
        </w:rPr>
      </w:pPr>
      <w:r>
        <w:rPr>
          <w:rFonts w:eastAsia="Arial" w:cs="Arial"/>
        </w:rPr>
        <w:t>2) P</w:t>
      </w:r>
      <w:r w:rsidRPr="002236DA">
        <w:rPr>
          <w:rFonts w:eastAsia="Arial" w:cs="Arial"/>
        </w:rPr>
        <w:t>erspectiva de género</w:t>
      </w:r>
      <w:r>
        <w:rPr>
          <w:rFonts w:eastAsia="Arial" w:cs="Arial"/>
        </w:rPr>
        <w:t xml:space="preserve">, </w:t>
      </w:r>
    </w:p>
    <w:p w14:paraId="5D219572" w14:textId="77777777" w:rsidR="00CD4FDF" w:rsidRDefault="00CD4FDF" w:rsidP="00CD4FDF">
      <w:pPr>
        <w:ind w:left="720"/>
        <w:rPr>
          <w:rFonts w:eastAsia="Arial" w:cs="Arial"/>
        </w:rPr>
      </w:pPr>
      <w:r>
        <w:rPr>
          <w:rFonts w:eastAsia="Arial" w:cs="Arial"/>
        </w:rPr>
        <w:t>3) C</w:t>
      </w:r>
      <w:r w:rsidRPr="002236DA">
        <w:rPr>
          <w:rFonts w:eastAsia="Arial" w:cs="Arial"/>
        </w:rPr>
        <w:t>oordinación institucional</w:t>
      </w:r>
      <w:r>
        <w:rPr>
          <w:rFonts w:eastAsia="Arial" w:cs="Arial"/>
        </w:rPr>
        <w:t>,</w:t>
      </w:r>
      <w:r w:rsidRPr="002236DA">
        <w:rPr>
          <w:rFonts w:eastAsia="Arial" w:cs="Arial"/>
        </w:rPr>
        <w:t xml:space="preserve"> </w:t>
      </w:r>
    </w:p>
    <w:p w14:paraId="6C6F2455" w14:textId="77777777" w:rsidR="00CD4FDF" w:rsidRDefault="00CD4FDF" w:rsidP="00CD4FDF">
      <w:pPr>
        <w:ind w:left="720"/>
        <w:rPr>
          <w:rFonts w:eastAsia="Arial" w:cs="Arial"/>
        </w:rPr>
      </w:pPr>
      <w:r>
        <w:rPr>
          <w:rFonts w:eastAsia="Arial" w:cs="Arial"/>
        </w:rPr>
        <w:t>4)</w:t>
      </w:r>
      <w:r w:rsidRPr="002236DA">
        <w:rPr>
          <w:rFonts w:eastAsia="Arial" w:cs="Arial"/>
        </w:rPr>
        <w:t xml:space="preserve"> </w:t>
      </w:r>
      <w:r>
        <w:rPr>
          <w:rFonts w:eastAsia="Arial" w:cs="Arial"/>
        </w:rPr>
        <w:t>G</w:t>
      </w:r>
      <w:r w:rsidRPr="002236DA">
        <w:rPr>
          <w:rFonts w:eastAsia="Arial" w:cs="Arial"/>
        </w:rPr>
        <w:t>obierno abierto y la participación social</w:t>
      </w:r>
      <w:r>
        <w:rPr>
          <w:rFonts w:eastAsia="Arial" w:cs="Arial"/>
        </w:rPr>
        <w:t xml:space="preserve">, </w:t>
      </w:r>
      <w:r w:rsidRPr="002236DA">
        <w:rPr>
          <w:rFonts w:eastAsia="Arial" w:cs="Arial"/>
        </w:rPr>
        <w:t>y</w:t>
      </w:r>
      <w:r>
        <w:rPr>
          <w:rFonts w:eastAsia="Arial" w:cs="Arial"/>
        </w:rPr>
        <w:t xml:space="preserve"> </w:t>
      </w:r>
    </w:p>
    <w:p w14:paraId="7ED1BC9F" w14:textId="4C8BEC7C" w:rsidR="00CD4FDF" w:rsidRDefault="00CD4FDF" w:rsidP="00CD4FDF">
      <w:pPr>
        <w:ind w:left="720"/>
        <w:rPr>
          <w:rFonts w:eastAsia="Arial" w:cs="Arial"/>
        </w:rPr>
      </w:pPr>
      <w:r>
        <w:rPr>
          <w:rFonts w:eastAsia="Arial" w:cs="Arial"/>
        </w:rPr>
        <w:t>5) D</w:t>
      </w:r>
      <w:r w:rsidRPr="002236DA">
        <w:rPr>
          <w:rFonts w:eastAsia="Arial" w:cs="Arial"/>
        </w:rPr>
        <w:t>esarrollo de inteligencia y aprovechamiento tecnológico.</w:t>
      </w:r>
    </w:p>
    <w:p w14:paraId="2EFC3E4C" w14:textId="77777777" w:rsidR="00CD4FDF" w:rsidRDefault="00CD4FDF" w:rsidP="00CD4FDF">
      <w:pPr>
        <w:ind w:left="720"/>
        <w:rPr>
          <w:rFonts w:eastAsia="Arial" w:cs="Arial"/>
        </w:rPr>
      </w:pPr>
    </w:p>
    <w:p w14:paraId="4F3E27C2" w14:textId="291F6A1C" w:rsidR="00CD4FDF" w:rsidRDefault="00CD4FDF" w:rsidP="00CD4FDF">
      <w:pPr>
        <w:rPr>
          <w:rFonts w:eastAsia="Arial" w:cs="Arial"/>
        </w:rPr>
      </w:pPr>
      <w:r>
        <w:rPr>
          <w:rFonts w:eastAsia="Arial" w:cs="Arial"/>
        </w:rPr>
        <w:t xml:space="preserve">La Secretaria Técnica resalta que dicha estructura se desarrolló para </w:t>
      </w:r>
      <w:r w:rsidRPr="008C6858">
        <w:rPr>
          <w:rFonts w:eastAsia="Arial" w:cs="Arial"/>
        </w:rPr>
        <w:t xml:space="preserve">atender las 40 prioridades de Política Nacional Anticorrupción por medio de </w:t>
      </w:r>
      <w:r>
        <w:rPr>
          <w:rFonts w:eastAsia="Arial" w:cs="Arial"/>
        </w:rPr>
        <w:t>los</w:t>
      </w:r>
      <w:r w:rsidRPr="008C6858">
        <w:rPr>
          <w:rFonts w:eastAsia="Arial" w:cs="Arial"/>
        </w:rPr>
        <w:t xml:space="preserve"> 4 ejes estratégicos, que dan cuenta de 4 objetivos generales, 10 objetivos específicos y 271 acciones anticorrupción</w:t>
      </w:r>
      <w:r>
        <w:rPr>
          <w:rFonts w:eastAsia="Arial" w:cs="Arial"/>
        </w:rPr>
        <w:t xml:space="preserve">. </w:t>
      </w:r>
    </w:p>
    <w:p w14:paraId="35368EB0" w14:textId="77777777" w:rsidR="00CD4FDF" w:rsidRDefault="00CD4FDF" w:rsidP="00CD4FDF">
      <w:pPr>
        <w:rPr>
          <w:rFonts w:eastAsia="Arial" w:cs="Arial"/>
        </w:rPr>
      </w:pPr>
    </w:p>
    <w:p w14:paraId="1E880B08" w14:textId="090CB99A" w:rsidR="00CD4FDF" w:rsidRDefault="00CD4FDF" w:rsidP="00CD4FDF">
      <w:pPr>
        <w:rPr>
          <w:rFonts w:eastAsia="Arial" w:cs="Arial"/>
        </w:rPr>
      </w:pPr>
      <w:r>
        <w:rPr>
          <w:rFonts w:eastAsia="Arial" w:cs="Arial"/>
        </w:rPr>
        <w:t xml:space="preserve">Destaca que </w:t>
      </w:r>
      <w:r w:rsidRPr="003C44EF">
        <w:rPr>
          <w:rFonts w:eastAsia="Arial" w:cs="Arial"/>
        </w:rPr>
        <w:t xml:space="preserve">hubo un arduo trabajo por parte de los </w:t>
      </w:r>
      <w:r>
        <w:rPr>
          <w:rFonts w:eastAsia="Arial" w:cs="Arial"/>
        </w:rPr>
        <w:t>E</w:t>
      </w:r>
      <w:r w:rsidRPr="003C44EF">
        <w:rPr>
          <w:rFonts w:eastAsia="Arial" w:cs="Arial"/>
        </w:rPr>
        <w:t>nlaces de Comité Coordinado</w:t>
      </w:r>
      <w:r>
        <w:rPr>
          <w:rFonts w:eastAsia="Arial" w:cs="Arial"/>
        </w:rPr>
        <w:t xml:space="preserve">r y </w:t>
      </w:r>
      <w:r w:rsidRPr="003C44EF">
        <w:rPr>
          <w:rFonts w:eastAsia="Arial" w:cs="Arial"/>
        </w:rPr>
        <w:t>d</w:t>
      </w:r>
      <w:r>
        <w:rPr>
          <w:rFonts w:eastAsia="Arial" w:cs="Arial"/>
        </w:rPr>
        <w:t>el CPS</w:t>
      </w:r>
      <w:r w:rsidRPr="003C44EF">
        <w:rPr>
          <w:rFonts w:eastAsia="Arial" w:cs="Arial"/>
        </w:rPr>
        <w:t xml:space="preserve">, en el </w:t>
      </w:r>
      <w:r>
        <w:rPr>
          <w:rFonts w:eastAsia="Arial" w:cs="Arial"/>
        </w:rPr>
        <w:t>T</w:t>
      </w:r>
      <w:r w:rsidRPr="003C44EF">
        <w:rPr>
          <w:rFonts w:eastAsia="Arial" w:cs="Arial"/>
        </w:rPr>
        <w:t xml:space="preserve">aller de </w:t>
      </w:r>
      <w:r>
        <w:rPr>
          <w:rFonts w:eastAsia="Arial" w:cs="Arial"/>
        </w:rPr>
        <w:t>I</w:t>
      </w:r>
      <w:r w:rsidRPr="003C44EF">
        <w:rPr>
          <w:rFonts w:eastAsia="Arial" w:cs="Arial"/>
        </w:rPr>
        <w:t xml:space="preserve">nteligencia </w:t>
      </w:r>
      <w:r>
        <w:rPr>
          <w:rFonts w:eastAsia="Arial" w:cs="Arial"/>
        </w:rPr>
        <w:t>C</w:t>
      </w:r>
      <w:r w:rsidRPr="003C44EF">
        <w:rPr>
          <w:rFonts w:eastAsia="Arial" w:cs="Arial"/>
        </w:rPr>
        <w:t xml:space="preserve">olectiva y </w:t>
      </w:r>
      <w:r>
        <w:rPr>
          <w:rFonts w:eastAsia="Arial" w:cs="Arial"/>
        </w:rPr>
        <w:t>con</w:t>
      </w:r>
      <w:r w:rsidRPr="003C44EF">
        <w:rPr>
          <w:rFonts w:eastAsia="Arial" w:cs="Arial"/>
        </w:rPr>
        <w:t xml:space="preserve"> el Consejo Consultivo</w:t>
      </w:r>
      <w:r>
        <w:rPr>
          <w:rFonts w:eastAsia="Arial" w:cs="Arial"/>
        </w:rPr>
        <w:t xml:space="preserve">. Menciona que toda la documentación se encuentra disponible en el micrositio de la PEAJAL. </w:t>
      </w:r>
    </w:p>
    <w:p w14:paraId="4838FD3F" w14:textId="77777777" w:rsidR="00CD4FDF" w:rsidRDefault="00CD4FDF" w:rsidP="00CD4FDF">
      <w:pPr>
        <w:rPr>
          <w:rFonts w:eastAsia="Arial" w:cs="Arial"/>
        </w:rPr>
      </w:pPr>
    </w:p>
    <w:p w14:paraId="641BE54E" w14:textId="4D582B7C" w:rsidR="00CD4FDF" w:rsidRDefault="00CD4FDF" w:rsidP="00CD4FDF">
      <w:pPr>
        <w:rPr>
          <w:rFonts w:eastAsia="Arial" w:cs="Arial"/>
        </w:rPr>
      </w:pPr>
      <w:r>
        <w:rPr>
          <w:rFonts w:eastAsia="Arial" w:cs="Arial"/>
        </w:rPr>
        <w:t>La Secretaria Técnica menciona que la implementación de la Política se determinó mediante cuatro programas de marco de implementación, ello derivado de las reuniones técnicas que se realizaron con integrantes del Comité de Participación Social</w:t>
      </w:r>
      <w:r w:rsidRPr="00311857">
        <w:rPr>
          <w:rFonts w:eastAsia="Arial" w:cs="Arial"/>
        </w:rPr>
        <w:t xml:space="preserve">, con el </w:t>
      </w:r>
      <w:r w:rsidRPr="00311857">
        <w:rPr>
          <w:rFonts w:eastAsia="Arial" w:cs="Arial"/>
        </w:rPr>
        <w:lastRenderedPageBreak/>
        <w:t xml:space="preserve">liderazgo de las </w:t>
      </w:r>
      <w:r>
        <w:rPr>
          <w:rFonts w:eastAsia="Arial" w:cs="Arial"/>
        </w:rPr>
        <w:t>i</w:t>
      </w:r>
      <w:r w:rsidRPr="00311857">
        <w:rPr>
          <w:rFonts w:eastAsia="Arial" w:cs="Arial"/>
        </w:rPr>
        <w:t xml:space="preserve">nstituciones </w:t>
      </w:r>
      <w:r>
        <w:rPr>
          <w:rFonts w:eastAsia="Arial" w:cs="Arial"/>
        </w:rPr>
        <w:t xml:space="preserve">cuyos titulares integran </w:t>
      </w:r>
      <w:r w:rsidRPr="00311857">
        <w:rPr>
          <w:rFonts w:eastAsia="Arial" w:cs="Arial"/>
        </w:rPr>
        <w:t xml:space="preserve">el Comité Coordinador y </w:t>
      </w:r>
      <w:r>
        <w:rPr>
          <w:rFonts w:eastAsia="Arial" w:cs="Arial"/>
        </w:rPr>
        <w:t>con participación</w:t>
      </w:r>
      <w:r w:rsidRPr="00311857">
        <w:rPr>
          <w:rFonts w:eastAsia="Arial" w:cs="Arial"/>
        </w:rPr>
        <w:t xml:space="preserve"> de los entes públicos del Estado de Jalisco</w:t>
      </w:r>
      <w:r>
        <w:rPr>
          <w:rFonts w:eastAsia="Arial" w:cs="Arial"/>
        </w:rPr>
        <w:t xml:space="preserve">. </w:t>
      </w:r>
    </w:p>
    <w:p w14:paraId="4A890678" w14:textId="77777777" w:rsidR="00CD4FDF" w:rsidRDefault="00CD4FDF" w:rsidP="00CD4FDF">
      <w:pPr>
        <w:rPr>
          <w:rFonts w:eastAsia="Arial" w:cs="Arial"/>
        </w:rPr>
      </w:pPr>
    </w:p>
    <w:p w14:paraId="1D38D268" w14:textId="05C9FBF2" w:rsidR="00CD4FDF" w:rsidRDefault="00CD4FDF" w:rsidP="00CD4FDF">
      <w:pPr>
        <w:rPr>
          <w:rFonts w:eastAsia="Arial" w:cs="Arial"/>
        </w:rPr>
      </w:pPr>
      <w:r>
        <w:rPr>
          <w:rFonts w:eastAsia="Arial" w:cs="Arial"/>
        </w:rPr>
        <w:t>El</w:t>
      </w:r>
      <w:r w:rsidRPr="00311857">
        <w:rPr>
          <w:rFonts w:eastAsia="Arial" w:cs="Arial"/>
        </w:rPr>
        <w:t xml:space="preserve"> modelo de implementación que se propone para los entes públicos de Jalisco en quienes recae</w:t>
      </w:r>
      <w:r>
        <w:rPr>
          <w:rFonts w:eastAsia="Arial" w:cs="Arial"/>
        </w:rPr>
        <w:t xml:space="preserve"> </w:t>
      </w:r>
      <w:r w:rsidRPr="00311857">
        <w:rPr>
          <w:rFonts w:eastAsia="Arial" w:cs="Arial"/>
        </w:rPr>
        <w:t xml:space="preserve">la obligación de la implementación de la </w:t>
      </w:r>
      <w:r>
        <w:rPr>
          <w:rFonts w:eastAsia="Arial" w:cs="Arial"/>
        </w:rPr>
        <w:t>PEAJAL, como estipula la ley,</w:t>
      </w:r>
      <w:r w:rsidRPr="00311857">
        <w:rPr>
          <w:rFonts w:eastAsia="Arial" w:cs="Arial"/>
        </w:rPr>
        <w:t xml:space="preserve"> tiene </w:t>
      </w:r>
      <w:r>
        <w:rPr>
          <w:rFonts w:eastAsia="Arial" w:cs="Arial"/>
        </w:rPr>
        <w:t>seis</w:t>
      </w:r>
      <w:r w:rsidRPr="00311857">
        <w:rPr>
          <w:rFonts w:eastAsia="Arial" w:cs="Arial"/>
        </w:rPr>
        <w:t xml:space="preserve"> elementos: </w:t>
      </w:r>
    </w:p>
    <w:p w14:paraId="30D317EE" w14:textId="77777777" w:rsidR="00CD4FDF" w:rsidRDefault="00CD4FDF" w:rsidP="00CD4FDF">
      <w:pPr>
        <w:rPr>
          <w:rFonts w:eastAsia="Arial" w:cs="Arial"/>
        </w:rPr>
      </w:pPr>
    </w:p>
    <w:p w14:paraId="27EC96EE" w14:textId="77777777" w:rsidR="00CD4FDF" w:rsidRPr="001F7186" w:rsidRDefault="00CD4FDF" w:rsidP="00EC6B98">
      <w:pPr>
        <w:pStyle w:val="Prrafodelista"/>
        <w:numPr>
          <w:ilvl w:val="0"/>
          <w:numId w:val="11"/>
        </w:numPr>
        <w:jc w:val="both"/>
        <w:rPr>
          <w:rFonts w:eastAsia="Arial" w:cs="Arial"/>
        </w:rPr>
      </w:pPr>
      <w:r w:rsidRPr="001F7186">
        <w:rPr>
          <w:rFonts w:eastAsia="Arial" w:cs="Arial"/>
        </w:rPr>
        <w:t xml:space="preserve">Programación institucional de los entes públicos que deben de hacer para alinearse a la PEAJAL, </w:t>
      </w:r>
    </w:p>
    <w:p w14:paraId="3A66F650" w14:textId="6B591177" w:rsidR="00CD4FDF" w:rsidRPr="001F7186" w:rsidRDefault="00CD4FDF" w:rsidP="00EC6B98">
      <w:pPr>
        <w:pStyle w:val="Prrafodelista"/>
        <w:numPr>
          <w:ilvl w:val="0"/>
          <w:numId w:val="11"/>
        </w:numPr>
        <w:jc w:val="both"/>
        <w:rPr>
          <w:rFonts w:eastAsia="Arial" w:cs="Arial"/>
        </w:rPr>
      </w:pPr>
      <w:r w:rsidRPr="001F7186">
        <w:rPr>
          <w:rFonts w:eastAsia="Arial" w:cs="Arial"/>
        </w:rPr>
        <w:t>Establecimiento de compromisos y acciones anticorrupción co</w:t>
      </w:r>
      <w:r w:rsidR="007220A8">
        <w:rPr>
          <w:rFonts w:eastAsia="Arial" w:cs="Arial"/>
        </w:rPr>
        <w:t xml:space="preserve"> </w:t>
      </w:r>
      <w:r w:rsidRPr="001F7186">
        <w:rPr>
          <w:rFonts w:eastAsia="Arial" w:cs="Arial"/>
        </w:rPr>
        <w:t xml:space="preserve">creadas, </w:t>
      </w:r>
    </w:p>
    <w:p w14:paraId="1B042A57" w14:textId="77777777" w:rsidR="00CD4FDF" w:rsidRPr="001F7186" w:rsidRDefault="00CD4FDF" w:rsidP="00EC6B98">
      <w:pPr>
        <w:pStyle w:val="Prrafodelista"/>
        <w:numPr>
          <w:ilvl w:val="0"/>
          <w:numId w:val="11"/>
        </w:numPr>
        <w:jc w:val="both"/>
        <w:rPr>
          <w:rFonts w:eastAsia="Arial" w:cs="Arial"/>
        </w:rPr>
      </w:pPr>
      <w:r w:rsidRPr="001F7186">
        <w:rPr>
          <w:rFonts w:eastAsia="Arial" w:cs="Arial"/>
        </w:rPr>
        <w:t xml:space="preserve">Instrumentación de mecanismos de coordinación interinstitucional, </w:t>
      </w:r>
    </w:p>
    <w:p w14:paraId="09D905D4" w14:textId="77777777" w:rsidR="00CD4FDF" w:rsidRPr="001F7186" w:rsidRDefault="00CD4FDF" w:rsidP="00EC6B98">
      <w:pPr>
        <w:pStyle w:val="Prrafodelista"/>
        <w:numPr>
          <w:ilvl w:val="0"/>
          <w:numId w:val="11"/>
        </w:numPr>
        <w:jc w:val="both"/>
        <w:rPr>
          <w:rFonts w:eastAsia="Arial" w:cs="Arial"/>
        </w:rPr>
      </w:pPr>
      <w:r w:rsidRPr="001F7186">
        <w:rPr>
          <w:rFonts w:eastAsia="Arial" w:cs="Arial"/>
        </w:rPr>
        <w:t xml:space="preserve">Trazabilidad de la responsabilidad de la implementación, </w:t>
      </w:r>
    </w:p>
    <w:p w14:paraId="65C14EA9" w14:textId="77777777" w:rsidR="00CD4FDF" w:rsidRPr="001F7186" w:rsidRDefault="00CD4FDF" w:rsidP="00EC6B98">
      <w:pPr>
        <w:pStyle w:val="Prrafodelista"/>
        <w:numPr>
          <w:ilvl w:val="0"/>
          <w:numId w:val="11"/>
        </w:numPr>
        <w:jc w:val="both"/>
        <w:rPr>
          <w:rFonts w:eastAsia="Arial" w:cs="Arial"/>
        </w:rPr>
      </w:pPr>
      <w:r w:rsidRPr="001F7186">
        <w:rPr>
          <w:rFonts w:eastAsia="Arial" w:cs="Arial"/>
        </w:rPr>
        <w:t>Prevención de riesgos de la implementación y</w:t>
      </w:r>
    </w:p>
    <w:p w14:paraId="43F38F86" w14:textId="77777777" w:rsidR="00CD4FDF" w:rsidRPr="001F7186" w:rsidRDefault="00CD4FDF" w:rsidP="00EC6B98">
      <w:pPr>
        <w:pStyle w:val="Prrafodelista"/>
        <w:numPr>
          <w:ilvl w:val="0"/>
          <w:numId w:val="11"/>
        </w:numPr>
        <w:jc w:val="both"/>
        <w:rPr>
          <w:rFonts w:eastAsia="Arial" w:cs="Arial"/>
        </w:rPr>
      </w:pPr>
      <w:r w:rsidRPr="001F7186">
        <w:rPr>
          <w:rFonts w:eastAsia="Arial" w:cs="Arial"/>
        </w:rPr>
        <w:t>Informe independiente de implementación.</w:t>
      </w:r>
    </w:p>
    <w:p w14:paraId="71D5D142" w14:textId="77777777" w:rsidR="00CD4FDF" w:rsidRDefault="00CD4FDF" w:rsidP="00CD4FDF">
      <w:pPr>
        <w:rPr>
          <w:rFonts w:eastAsia="Arial" w:cs="Arial"/>
        </w:rPr>
      </w:pPr>
    </w:p>
    <w:p w14:paraId="32C9B90E" w14:textId="2D49D4F6" w:rsidR="00CD4FDF" w:rsidRDefault="00CD4FDF" w:rsidP="00CD4FDF">
      <w:pPr>
        <w:rPr>
          <w:rFonts w:eastAsia="Arial" w:cs="Arial"/>
        </w:rPr>
      </w:pPr>
      <w:r>
        <w:rPr>
          <w:rFonts w:eastAsia="Arial" w:cs="Arial"/>
        </w:rPr>
        <w:t>Destaca la Secretaria Técnica r</w:t>
      </w:r>
      <w:r w:rsidRPr="007D47B1">
        <w:rPr>
          <w:rFonts w:eastAsia="Arial" w:cs="Arial"/>
        </w:rPr>
        <w:t>especto del seguimiento y evaluación</w:t>
      </w:r>
      <w:r>
        <w:rPr>
          <w:rFonts w:eastAsia="Arial" w:cs="Arial"/>
        </w:rPr>
        <w:t xml:space="preserve"> que</w:t>
      </w:r>
      <w:r w:rsidRPr="007D47B1">
        <w:rPr>
          <w:rFonts w:eastAsia="Arial" w:cs="Arial"/>
        </w:rPr>
        <w:t xml:space="preserve"> a nivel nacional existe un Modelo de Seguimiento y Evaluación de la Corrupción (MOSEC), </w:t>
      </w:r>
      <w:r>
        <w:rPr>
          <w:rFonts w:eastAsia="Arial" w:cs="Arial"/>
        </w:rPr>
        <w:t>con el cual</w:t>
      </w:r>
      <w:r w:rsidRPr="007D47B1">
        <w:rPr>
          <w:rFonts w:eastAsia="Arial" w:cs="Arial"/>
        </w:rPr>
        <w:t xml:space="preserve"> ya están familiarizado</w:t>
      </w:r>
      <w:r>
        <w:rPr>
          <w:rFonts w:eastAsia="Arial" w:cs="Arial"/>
        </w:rPr>
        <w:t>s</w:t>
      </w:r>
      <w:r w:rsidRPr="007D47B1">
        <w:rPr>
          <w:rFonts w:eastAsia="Arial" w:cs="Arial"/>
        </w:rPr>
        <w:t xml:space="preserve">, </w:t>
      </w:r>
      <w:r>
        <w:rPr>
          <w:rFonts w:eastAsia="Arial" w:cs="Arial"/>
        </w:rPr>
        <w:t>por lo que se propone alinearse</w:t>
      </w:r>
      <w:r w:rsidRPr="007D47B1">
        <w:rPr>
          <w:rFonts w:eastAsia="Arial" w:cs="Arial"/>
        </w:rPr>
        <w:t xml:space="preserve"> con e</w:t>
      </w:r>
      <w:r>
        <w:rPr>
          <w:rFonts w:eastAsia="Arial" w:cs="Arial"/>
        </w:rPr>
        <w:t>ll</w:t>
      </w:r>
      <w:r w:rsidRPr="007D47B1">
        <w:rPr>
          <w:rFonts w:eastAsia="Arial" w:cs="Arial"/>
        </w:rPr>
        <w:t>o y tener MOSEC en Jalisco, que se expidan Lineamientos Generales para el Seguimiento y Evaluación de las Políticas Públicas Anticorrupción del Estado; un sistema de seguimiento y evaluación a través del cual p</w:t>
      </w:r>
      <w:r>
        <w:rPr>
          <w:rFonts w:eastAsia="Arial" w:cs="Arial"/>
        </w:rPr>
        <w:t xml:space="preserve">ermita </w:t>
      </w:r>
      <w:r w:rsidRPr="007D47B1">
        <w:rPr>
          <w:rFonts w:eastAsia="Arial" w:cs="Arial"/>
        </w:rPr>
        <w:t xml:space="preserve">ver los indicadores sobre la corrupción, la evaluación de programas y el balance sobre el combate y control de la corrupción. </w:t>
      </w:r>
    </w:p>
    <w:p w14:paraId="047BB07F" w14:textId="77777777" w:rsidR="00CD4FDF" w:rsidRDefault="00CD4FDF" w:rsidP="00CD4FDF">
      <w:pPr>
        <w:rPr>
          <w:rFonts w:eastAsia="Arial" w:cs="Arial"/>
        </w:rPr>
      </w:pPr>
    </w:p>
    <w:p w14:paraId="7FCD0D19" w14:textId="182EA46C" w:rsidR="00CD4FDF" w:rsidRDefault="00CD4FDF" w:rsidP="00CD4FDF">
      <w:pPr>
        <w:rPr>
          <w:rFonts w:eastAsia="Arial" w:cs="Arial"/>
        </w:rPr>
      </w:pPr>
      <w:r w:rsidRPr="007D47B1">
        <w:rPr>
          <w:rFonts w:eastAsia="Arial" w:cs="Arial"/>
        </w:rPr>
        <w:t xml:space="preserve">Finalmente, </w:t>
      </w:r>
      <w:r>
        <w:rPr>
          <w:rFonts w:eastAsia="Arial" w:cs="Arial"/>
        </w:rPr>
        <w:t>y reitera que es algo que se había aprobado</w:t>
      </w:r>
      <w:r w:rsidRPr="007D47B1">
        <w:rPr>
          <w:rFonts w:eastAsia="Arial" w:cs="Arial"/>
        </w:rPr>
        <w:t xml:space="preserve"> en una sesión previa de la Comisión Ejecutiva, los componentes básicos de la ficha de los indicadores</w:t>
      </w:r>
      <w:r>
        <w:rPr>
          <w:rFonts w:eastAsia="Arial" w:cs="Arial"/>
        </w:rPr>
        <w:t>,</w:t>
      </w:r>
      <w:r w:rsidRPr="007D47B1">
        <w:rPr>
          <w:rFonts w:eastAsia="Arial" w:cs="Arial"/>
        </w:rPr>
        <w:t xml:space="preserve"> con el cual se podría dar seguimiento, los objetivos, los datos descriptivos, los parámetros del indicador y el resultado de desempeño.</w:t>
      </w:r>
    </w:p>
    <w:p w14:paraId="5066841F" w14:textId="77777777" w:rsidR="00CD4FDF" w:rsidRDefault="00CD4FDF" w:rsidP="00CD4FDF">
      <w:pPr>
        <w:rPr>
          <w:rFonts w:eastAsia="Arial" w:cs="Arial"/>
        </w:rPr>
      </w:pPr>
    </w:p>
    <w:p w14:paraId="787C6F11" w14:textId="07E77EA5" w:rsidR="00CD4FDF" w:rsidRDefault="00CD4FDF" w:rsidP="00CD4FDF">
      <w:pPr>
        <w:rPr>
          <w:rFonts w:eastAsia="Arial" w:cs="Arial"/>
        </w:rPr>
      </w:pPr>
      <w:r>
        <w:rPr>
          <w:rFonts w:eastAsia="Arial" w:cs="Arial"/>
        </w:rPr>
        <w:t xml:space="preserve">La Secretaria Técnica señala que se incorpora a la sesión el Dr. David Gómez Álvarez Pérez, quien envió sus comentarios anteriormente. </w:t>
      </w:r>
    </w:p>
    <w:p w14:paraId="56F22A33" w14:textId="77777777" w:rsidR="00CD4FDF" w:rsidRDefault="00CD4FDF" w:rsidP="00CD4FDF">
      <w:pPr>
        <w:rPr>
          <w:rFonts w:eastAsia="Arial" w:cs="Arial"/>
        </w:rPr>
      </w:pPr>
    </w:p>
    <w:p w14:paraId="58BDCA19" w14:textId="2349D174" w:rsidR="00CD4FDF" w:rsidRDefault="00CD4FDF" w:rsidP="00CD4FDF">
      <w:pPr>
        <w:rPr>
          <w:rFonts w:eastAsia="Arial" w:cs="Arial"/>
        </w:rPr>
      </w:pPr>
      <w:r>
        <w:rPr>
          <w:rFonts w:eastAsia="Arial" w:cs="Arial"/>
        </w:rPr>
        <w:t>Cede el uso de la voz al Dr. Jesús Ibarra Cárdenas, que considera</w:t>
      </w:r>
      <w:r w:rsidRPr="00CD47BB">
        <w:rPr>
          <w:rFonts w:eastAsia="Arial" w:cs="Arial"/>
        </w:rPr>
        <w:t xml:space="preserve"> importante destacar</w:t>
      </w:r>
      <w:r>
        <w:rPr>
          <w:rFonts w:eastAsia="Arial" w:cs="Arial"/>
        </w:rPr>
        <w:t xml:space="preserve"> que </w:t>
      </w:r>
      <w:r w:rsidRPr="00CD47BB">
        <w:rPr>
          <w:rFonts w:eastAsia="Arial" w:cs="Arial"/>
        </w:rPr>
        <w:t xml:space="preserve">la Política Estatal dejó un ejercicio deliberativo muy encomiable, un ejercicio deliberativo que incorporó la perspectiva de diversos actores sociales, académicos, de organizaciones civiles y que incorpora, mejora y enriquece el planteamiento original; otra cuestión importante </w:t>
      </w:r>
      <w:r>
        <w:rPr>
          <w:rFonts w:eastAsia="Arial" w:cs="Arial"/>
        </w:rPr>
        <w:t>a</w:t>
      </w:r>
      <w:r w:rsidRPr="00CD47BB">
        <w:rPr>
          <w:rFonts w:eastAsia="Arial" w:cs="Arial"/>
        </w:rPr>
        <w:t xml:space="preserve"> destacar</w:t>
      </w:r>
      <w:r>
        <w:rPr>
          <w:rFonts w:eastAsia="Arial" w:cs="Arial"/>
        </w:rPr>
        <w:t>, añade,</w:t>
      </w:r>
      <w:r w:rsidRPr="00CD47BB">
        <w:rPr>
          <w:rFonts w:eastAsia="Arial" w:cs="Arial"/>
        </w:rPr>
        <w:t xml:space="preserve"> es que aunque está perfectamente alineada</w:t>
      </w:r>
      <w:r>
        <w:rPr>
          <w:rFonts w:eastAsia="Arial" w:cs="Arial"/>
        </w:rPr>
        <w:t>,</w:t>
      </w:r>
      <w:r w:rsidRPr="00CD47BB">
        <w:rPr>
          <w:rFonts w:eastAsia="Arial" w:cs="Arial"/>
        </w:rPr>
        <w:t xml:space="preserve"> incorpora espacios, ampl</w:t>
      </w:r>
      <w:r>
        <w:rPr>
          <w:rFonts w:eastAsia="Arial" w:cs="Arial"/>
        </w:rPr>
        <w:t>í</w:t>
      </w:r>
      <w:r w:rsidRPr="00CD47BB">
        <w:rPr>
          <w:rFonts w:eastAsia="Arial" w:cs="Arial"/>
        </w:rPr>
        <w:t>a límites, permite tener una perspectiva mucho más amplia del fenómeno de la corrupción y destac</w:t>
      </w:r>
      <w:r>
        <w:rPr>
          <w:rFonts w:eastAsia="Arial" w:cs="Arial"/>
        </w:rPr>
        <w:t>a</w:t>
      </w:r>
      <w:r w:rsidRPr="00CD47BB">
        <w:rPr>
          <w:rFonts w:eastAsia="Arial" w:cs="Arial"/>
        </w:rPr>
        <w:t xml:space="preserve"> la definición conceptual de la corrupción, </w:t>
      </w:r>
      <w:r>
        <w:rPr>
          <w:rFonts w:eastAsia="Arial" w:cs="Arial"/>
        </w:rPr>
        <w:t>que se consigna en la página</w:t>
      </w:r>
      <w:r w:rsidRPr="00CD47BB">
        <w:rPr>
          <w:rFonts w:eastAsia="Arial" w:cs="Arial"/>
        </w:rPr>
        <w:t xml:space="preserve"> 41</w:t>
      </w:r>
      <w:r>
        <w:rPr>
          <w:rFonts w:eastAsia="Arial" w:cs="Arial"/>
        </w:rPr>
        <w:t>:</w:t>
      </w:r>
      <w:r w:rsidRPr="00CD47BB">
        <w:rPr>
          <w:rFonts w:eastAsia="Arial" w:cs="Arial"/>
        </w:rPr>
        <w:t xml:space="preserve"> “La corrupción es un fenómeno social en el cual existe condiciones sistemáticas y apropiación ilegítima del espacio público para propósitos privados”</w:t>
      </w:r>
      <w:r>
        <w:rPr>
          <w:rFonts w:eastAsia="Arial" w:cs="Arial"/>
        </w:rPr>
        <w:t xml:space="preserve">. </w:t>
      </w:r>
    </w:p>
    <w:p w14:paraId="61F50A55" w14:textId="77777777" w:rsidR="00CD4FDF" w:rsidRDefault="00CD4FDF" w:rsidP="00CD4FDF">
      <w:pPr>
        <w:rPr>
          <w:rFonts w:eastAsia="Arial" w:cs="Arial"/>
        </w:rPr>
      </w:pPr>
    </w:p>
    <w:p w14:paraId="03FF02B8" w14:textId="109A4BC1" w:rsidR="00CD4FDF" w:rsidRDefault="00CD4FDF" w:rsidP="00CD4FDF">
      <w:pPr>
        <w:rPr>
          <w:rFonts w:eastAsia="Arial" w:cs="Arial"/>
        </w:rPr>
      </w:pPr>
      <w:r>
        <w:rPr>
          <w:rFonts w:eastAsia="Arial" w:cs="Arial"/>
        </w:rPr>
        <w:t>Resalta que dicho concepto se trabajó</w:t>
      </w:r>
      <w:r w:rsidRPr="00CD47BB">
        <w:rPr>
          <w:rFonts w:eastAsia="Arial" w:cs="Arial"/>
        </w:rPr>
        <w:t xml:space="preserve"> hace un añ</w:t>
      </w:r>
      <w:r>
        <w:rPr>
          <w:rFonts w:eastAsia="Arial" w:cs="Arial"/>
        </w:rPr>
        <w:t xml:space="preserve">o, en septiembre, el cual considera </w:t>
      </w:r>
      <w:r w:rsidRPr="00CD47BB">
        <w:rPr>
          <w:rFonts w:eastAsia="Arial" w:cs="Arial"/>
        </w:rPr>
        <w:t>potente</w:t>
      </w:r>
      <w:r>
        <w:rPr>
          <w:rFonts w:eastAsia="Arial" w:cs="Arial"/>
        </w:rPr>
        <w:t xml:space="preserve">, </w:t>
      </w:r>
      <w:r w:rsidRPr="00CD47BB">
        <w:rPr>
          <w:rFonts w:eastAsia="Arial" w:cs="Arial"/>
        </w:rPr>
        <w:t>claro</w:t>
      </w:r>
      <w:r>
        <w:rPr>
          <w:rFonts w:eastAsia="Arial" w:cs="Arial"/>
        </w:rPr>
        <w:t xml:space="preserve"> y que</w:t>
      </w:r>
      <w:r w:rsidRPr="00CD47BB">
        <w:rPr>
          <w:rFonts w:eastAsia="Arial" w:cs="Arial"/>
        </w:rPr>
        <w:t xml:space="preserve"> se expresa en dos líneas</w:t>
      </w:r>
      <w:r>
        <w:rPr>
          <w:rFonts w:eastAsia="Arial" w:cs="Arial"/>
        </w:rPr>
        <w:t>:</w:t>
      </w:r>
      <w:r w:rsidRPr="00CD47BB">
        <w:rPr>
          <w:rFonts w:eastAsia="Arial" w:cs="Arial"/>
        </w:rPr>
        <w:t xml:space="preserve"> habla de apropiación ilegítima del espacio público, </w:t>
      </w:r>
      <w:r>
        <w:rPr>
          <w:rFonts w:eastAsia="Arial" w:cs="Arial"/>
        </w:rPr>
        <w:t xml:space="preserve">lo que </w:t>
      </w:r>
      <w:r w:rsidRPr="00CD47BB">
        <w:rPr>
          <w:rFonts w:eastAsia="Arial" w:cs="Arial"/>
        </w:rPr>
        <w:t xml:space="preserve">supone dejar un espacio al ámbito de la ética y de la integridad como relevantes dentro de la </w:t>
      </w:r>
      <w:r>
        <w:rPr>
          <w:rFonts w:eastAsia="Arial" w:cs="Arial"/>
        </w:rPr>
        <w:t>P</w:t>
      </w:r>
      <w:r w:rsidRPr="00CD47BB">
        <w:rPr>
          <w:rFonts w:eastAsia="Arial" w:cs="Arial"/>
        </w:rPr>
        <w:t xml:space="preserve">olítica </w:t>
      </w:r>
      <w:r>
        <w:rPr>
          <w:rFonts w:eastAsia="Arial" w:cs="Arial"/>
        </w:rPr>
        <w:t>E</w:t>
      </w:r>
      <w:r w:rsidRPr="00CD47BB">
        <w:rPr>
          <w:rFonts w:eastAsia="Arial" w:cs="Arial"/>
        </w:rPr>
        <w:t xml:space="preserve">statal </w:t>
      </w:r>
      <w:r>
        <w:rPr>
          <w:rFonts w:eastAsia="Arial" w:cs="Arial"/>
        </w:rPr>
        <w:t>A</w:t>
      </w:r>
      <w:r w:rsidRPr="00CD47BB">
        <w:rPr>
          <w:rFonts w:eastAsia="Arial" w:cs="Arial"/>
        </w:rPr>
        <w:t>nticorrupción en Jalisco</w:t>
      </w:r>
      <w:r>
        <w:rPr>
          <w:rFonts w:eastAsia="Arial" w:cs="Arial"/>
        </w:rPr>
        <w:t>. Comenta que ello</w:t>
      </w:r>
      <w:r w:rsidRPr="00CD47BB">
        <w:rPr>
          <w:rFonts w:eastAsia="Arial" w:cs="Arial"/>
        </w:rPr>
        <w:t xml:space="preserve"> no es común si </w:t>
      </w:r>
      <w:r>
        <w:rPr>
          <w:rFonts w:eastAsia="Arial" w:cs="Arial"/>
        </w:rPr>
        <w:t>se observan</w:t>
      </w:r>
      <w:r w:rsidRPr="00CD47BB">
        <w:rPr>
          <w:rFonts w:eastAsia="Arial" w:cs="Arial"/>
        </w:rPr>
        <w:t xml:space="preserve"> otros conceptos</w:t>
      </w:r>
      <w:r>
        <w:rPr>
          <w:rFonts w:eastAsia="Arial" w:cs="Arial"/>
        </w:rPr>
        <w:t>,</w:t>
      </w:r>
      <w:r w:rsidRPr="00CD47BB">
        <w:rPr>
          <w:rFonts w:eastAsia="Arial" w:cs="Arial"/>
        </w:rPr>
        <w:t xml:space="preserve"> no enfocan desde la perspectiva ética o étic</w:t>
      </w:r>
      <w:r>
        <w:rPr>
          <w:rFonts w:eastAsia="Arial" w:cs="Arial"/>
        </w:rPr>
        <w:t>a</w:t>
      </w:r>
      <w:r w:rsidRPr="00CD47BB">
        <w:rPr>
          <w:rFonts w:eastAsia="Arial" w:cs="Arial"/>
        </w:rPr>
        <w:t>–polític</w:t>
      </w:r>
      <w:r>
        <w:rPr>
          <w:rFonts w:eastAsia="Arial" w:cs="Arial"/>
        </w:rPr>
        <w:t>a</w:t>
      </w:r>
      <w:r w:rsidRPr="00CD47BB">
        <w:rPr>
          <w:rFonts w:eastAsia="Arial" w:cs="Arial"/>
        </w:rPr>
        <w:t>, no enfocan desde el espacio de la legitimidad o no legitimidad del ejercicio del poder, se refieren más bien a los temas de legalidad o ilegalidad</w:t>
      </w:r>
      <w:r>
        <w:rPr>
          <w:rFonts w:eastAsia="Arial" w:cs="Arial"/>
        </w:rPr>
        <w:t>. I</w:t>
      </w:r>
      <w:r w:rsidRPr="00CD47BB">
        <w:rPr>
          <w:rFonts w:eastAsia="Arial" w:cs="Arial"/>
        </w:rPr>
        <w:t>ntroducir en Jalisco en la definición conceptual de corrupción el término “legitimidad”, supone abrir el espacio a los problemas de integridad y de ética pública.</w:t>
      </w:r>
    </w:p>
    <w:p w14:paraId="0A58DBAC" w14:textId="77777777" w:rsidR="00CD4FDF" w:rsidRDefault="00CD4FDF" w:rsidP="00CD4FDF">
      <w:pPr>
        <w:rPr>
          <w:rFonts w:eastAsia="Arial" w:cs="Arial"/>
        </w:rPr>
      </w:pPr>
    </w:p>
    <w:p w14:paraId="6917F3F4" w14:textId="0DEFFD93" w:rsidR="00CD4FDF" w:rsidRDefault="00CD4FDF" w:rsidP="00CD4FDF">
      <w:pPr>
        <w:rPr>
          <w:rFonts w:eastAsia="Arial" w:cs="Arial"/>
        </w:rPr>
      </w:pPr>
      <w:r>
        <w:rPr>
          <w:rFonts w:eastAsia="Arial" w:cs="Arial"/>
        </w:rPr>
        <w:t>Ibarra Cárdenas por último resalta que en</w:t>
      </w:r>
      <w:r w:rsidRPr="00DC7ADF">
        <w:rPr>
          <w:rFonts w:eastAsia="Arial" w:cs="Arial"/>
        </w:rPr>
        <w:t xml:space="preserve"> Jalisco </w:t>
      </w:r>
      <w:r>
        <w:rPr>
          <w:rFonts w:eastAsia="Arial" w:cs="Arial"/>
        </w:rPr>
        <w:t>se logra abrir</w:t>
      </w:r>
      <w:r w:rsidRPr="00DC7ADF">
        <w:rPr>
          <w:rFonts w:eastAsia="Arial" w:cs="Arial"/>
        </w:rPr>
        <w:t xml:space="preserve"> la puerta, dejar una dimensión muy amplia para que el control de la corrupción atienda a la ética pública y a la integridad</w:t>
      </w:r>
      <w:r>
        <w:rPr>
          <w:rFonts w:eastAsia="Arial" w:cs="Arial"/>
        </w:rPr>
        <w:t>.</w:t>
      </w:r>
      <w:r w:rsidRPr="00DC7ADF">
        <w:rPr>
          <w:rFonts w:eastAsia="Arial" w:cs="Arial"/>
        </w:rPr>
        <w:t xml:space="preserve"> </w:t>
      </w:r>
      <w:r>
        <w:rPr>
          <w:rFonts w:eastAsia="Arial" w:cs="Arial"/>
        </w:rPr>
        <w:t>P</w:t>
      </w:r>
      <w:r w:rsidRPr="00DC7ADF">
        <w:rPr>
          <w:rFonts w:eastAsia="Arial" w:cs="Arial"/>
        </w:rPr>
        <w:t xml:space="preserve">arece que esta definición, este concepto, esta puesta desde la Política Estatal, da un </w:t>
      </w:r>
      <w:r>
        <w:rPr>
          <w:rFonts w:eastAsia="Arial" w:cs="Arial"/>
        </w:rPr>
        <w:t>“</w:t>
      </w:r>
      <w:r w:rsidRPr="00DC7ADF">
        <w:rPr>
          <w:rFonts w:eastAsia="Arial" w:cs="Arial"/>
        </w:rPr>
        <w:t>giro de tuerca</w:t>
      </w:r>
      <w:r>
        <w:rPr>
          <w:rFonts w:eastAsia="Arial" w:cs="Arial"/>
        </w:rPr>
        <w:t>”</w:t>
      </w:r>
      <w:r w:rsidRPr="00DC7ADF">
        <w:rPr>
          <w:rFonts w:eastAsia="Arial" w:cs="Arial"/>
        </w:rPr>
        <w:t xml:space="preserve"> muy interesante y presenta un fenómeno de la corrupción mucho más centrado en temas de ética pública que en temas punitivos de investigación o sanción. </w:t>
      </w:r>
    </w:p>
    <w:p w14:paraId="4ADFAAB2" w14:textId="77777777" w:rsidR="00CD4FDF" w:rsidRDefault="00CD4FDF" w:rsidP="00CD4FDF">
      <w:pPr>
        <w:rPr>
          <w:rFonts w:eastAsia="Arial" w:cs="Arial"/>
        </w:rPr>
      </w:pPr>
    </w:p>
    <w:p w14:paraId="56F6D0CC" w14:textId="01A454A5" w:rsidR="00CD4FDF" w:rsidRDefault="00CD4FDF" w:rsidP="00CD4FDF">
      <w:pPr>
        <w:rPr>
          <w:rFonts w:eastAsia="Arial" w:cs="Arial"/>
        </w:rPr>
      </w:pPr>
      <w:r>
        <w:rPr>
          <w:rFonts w:eastAsia="Arial" w:cs="Arial"/>
        </w:rPr>
        <w:t xml:space="preserve">La Dra. Nancy García Vázquez </w:t>
      </w:r>
      <w:r w:rsidRPr="00BC58B9">
        <w:rPr>
          <w:rFonts w:eastAsia="Arial" w:cs="Arial"/>
        </w:rPr>
        <w:t>enfatiza algun</w:t>
      </w:r>
      <w:r>
        <w:rPr>
          <w:rFonts w:eastAsia="Arial" w:cs="Arial"/>
        </w:rPr>
        <w:t>os</w:t>
      </w:r>
      <w:r w:rsidRPr="00BC58B9">
        <w:rPr>
          <w:rFonts w:eastAsia="Arial" w:cs="Arial"/>
        </w:rPr>
        <w:t xml:space="preserve"> </w:t>
      </w:r>
      <w:r>
        <w:rPr>
          <w:rFonts w:eastAsia="Arial" w:cs="Arial"/>
        </w:rPr>
        <w:t xml:space="preserve">aspectos que, menciona, previamente comentó con los demás integrantes del Comité. En </w:t>
      </w:r>
      <w:r w:rsidRPr="00BC58B9">
        <w:rPr>
          <w:rFonts w:eastAsia="Arial" w:cs="Arial"/>
        </w:rPr>
        <w:t xml:space="preserve">términos generales </w:t>
      </w:r>
      <w:r>
        <w:rPr>
          <w:rFonts w:eastAsia="Arial" w:cs="Arial"/>
        </w:rPr>
        <w:t xml:space="preserve">considera que está </w:t>
      </w:r>
      <w:r w:rsidRPr="00BC58B9">
        <w:rPr>
          <w:rFonts w:eastAsia="Arial" w:cs="Arial"/>
        </w:rPr>
        <w:t xml:space="preserve">casi terminado el borrador de la </w:t>
      </w:r>
      <w:r>
        <w:rPr>
          <w:rFonts w:eastAsia="Arial" w:cs="Arial"/>
        </w:rPr>
        <w:t>P</w:t>
      </w:r>
      <w:r w:rsidRPr="00BC58B9">
        <w:rPr>
          <w:rFonts w:eastAsia="Arial" w:cs="Arial"/>
        </w:rPr>
        <w:t xml:space="preserve">olítica </w:t>
      </w:r>
      <w:r>
        <w:rPr>
          <w:rFonts w:eastAsia="Arial" w:cs="Arial"/>
        </w:rPr>
        <w:t>E</w:t>
      </w:r>
      <w:r w:rsidRPr="00BC58B9">
        <w:rPr>
          <w:rFonts w:eastAsia="Arial" w:cs="Arial"/>
        </w:rPr>
        <w:t>statal</w:t>
      </w:r>
      <w:r>
        <w:rPr>
          <w:rFonts w:eastAsia="Arial" w:cs="Arial"/>
        </w:rPr>
        <w:t xml:space="preserve">. Resalta que hay cosas: que </w:t>
      </w:r>
      <w:r w:rsidRPr="00BC58B9">
        <w:rPr>
          <w:rFonts w:eastAsia="Arial" w:cs="Arial"/>
        </w:rPr>
        <w:t>en el ánimo de que la Política Estatal</w:t>
      </w:r>
      <w:r>
        <w:rPr>
          <w:rFonts w:eastAsia="Arial" w:cs="Arial"/>
        </w:rPr>
        <w:t xml:space="preserve"> para que</w:t>
      </w:r>
      <w:r w:rsidRPr="00BC58B9">
        <w:rPr>
          <w:rFonts w:eastAsia="Arial" w:cs="Arial"/>
        </w:rPr>
        <w:t xml:space="preserve"> tenga la mayor parte de los consensos establecidos y haya una implementación tersa</w:t>
      </w:r>
      <w:r>
        <w:rPr>
          <w:rFonts w:eastAsia="Arial" w:cs="Arial"/>
        </w:rPr>
        <w:t>,</w:t>
      </w:r>
      <w:r w:rsidRPr="00BC58B9">
        <w:rPr>
          <w:rFonts w:eastAsia="Arial" w:cs="Arial"/>
        </w:rPr>
        <w:t xml:space="preserve"> no sobre la </w:t>
      </w:r>
      <w:r>
        <w:rPr>
          <w:rFonts w:eastAsia="Arial" w:cs="Arial"/>
        </w:rPr>
        <w:t>P</w:t>
      </w:r>
      <w:r w:rsidRPr="00BC58B9">
        <w:rPr>
          <w:rFonts w:eastAsia="Arial" w:cs="Arial"/>
        </w:rPr>
        <w:t xml:space="preserve">olítica </w:t>
      </w:r>
      <w:r>
        <w:rPr>
          <w:rFonts w:eastAsia="Arial" w:cs="Arial"/>
        </w:rPr>
        <w:t>E</w:t>
      </w:r>
      <w:r w:rsidRPr="00BC58B9">
        <w:rPr>
          <w:rFonts w:eastAsia="Arial" w:cs="Arial"/>
        </w:rPr>
        <w:t>statal y en una apropiación real de la política,</w:t>
      </w:r>
      <w:r>
        <w:rPr>
          <w:rFonts w:eastAsia="Arial" w:cs="Arial"/>
        </w:rPr>
        <w:t xml:space="preserve"> y señala</w:t>
      </w:r>
      <w:r w:rsidRPr="00BC58B9">
        <w:rPr>
          <w:rFonts w:eastAsia="Arial" w:cs="Arial"/>
        </w:rPr>
        <w:t xml:space="preserve"> </w:t>
      </w:r>
      <w:r>
        <w:rPr>
          <w:rFonts w:eastAsia="Arial" w:cs="Arial"/>
        </w:rPr>
        <w:t xml:space="preserve">que </w:t>
      </w:r>
      <w:r w:rsidRPr="00BC58B9">
        <w:rPr>
          <w:rFonts w:eastAsia="Arial" w:cs="Arial"/>
        </w:rPr>
        <w:t>hay observaciones en las secciones 8 y 9 de la política</w:t>
      </w:r>
      <w:r>
        <w:rPr>
          <w:rFonts w:eastAsia="Arial" w:cs="Arial"/>
        </w:rPr>
        <w:t xml:space="preserve">. </w:t>
      </w:r>
    </w:p>
    <w:p w14:paraId="184FF996" w14:textId="77777777" w:rsidR="00CD4FDF" w:rsidRDefault="00CD4FDF" w:rsidP="00CD4FDF">
      <w:pPr>
        <w:rPr>
          <w:rFonts w:eastAsia="Arial" w:cs="Arial"/>
        </w:rPr>
      </w:pPr>
    </w:p>
    <w:p w14:paraId="55B5174C" w14:textId="4F26B972" w:rsidR="00CD4FDF" w:rsidRDefault="00CD4FDF" w:rsidP="00CD4FDF">
      <w:pPr>
        <w:rPr>
          <w:rFonts w:eastAsia="Arial" w:cs="Arial"/>
        </w:rPr>
      </w:pPr>
      <w:r>
        <w:rPr>
          <w:rFonts w:eastAsia="Arial" w:cs="Arial"/>
        </w:rPr>
        <w:t>Coincide con lo expuesto por la Secretaria Técnica sobre que</w:t>
      </w:r>
      <w:r w:rsidRPr="00BC58B9">
        <w:rPr>
          <w:rFonts w:eastAsia="Arial" w:cs="Arial"/>
        </w:rPr>
        <w:t xml:space="preserve"> el </w:t>
      </w:r>
      <w:r>
        <w:rPr>
          <w:rFonts w:eastAsia="Arial" w:cs="Arial"/>
        </w:rPr>
        <w:t>T</w:t>
      </w:r>
      <w:r w:rsidRPr="00BC58B9">
        <w:rPr>
          <w:rFonts w:eastAsia="Arial" w:cs="Arial"/>
        </w:rPr>
        <w:t xml:space="preserve">aller de </w:t>
      </w:r>
      <w:r>
        <w:rPr>
          <w:rFonts w:eastAsia="Arial" w:cs="Arial"/>
        </w:rPr>
        <w:t>I</w:t>
      </w:r>
      <w:r w:rsidRPr="00BC58B9">
        <w:rPr>
          <w:rFonts w:eastAsia="Arial" w:cs="Arial"/>
        </w:rPr>
        <w:t xml:space="preserve">nteligencia </w:t>
      </w:r>
      <w:r>
        <w:rPr>
          <w:rFonts w:eastAsia="Arial" w:cs="Arial"/>
        </w:rPr>
        <w:t xml:space="preserve">Colectiva </w:t>
      </w:r>
      <w:r w:rsidRPr="00BC58B9">
        <w:rPr>
          <w:rFonts w:eastAsia="Arial" w:cs="Arial"/>
        </w:rPr>
        <w:t xml:space="preserve">sirvió para definir prioridades que están alineadas y que devienen de la </w:t>
      </w:r>
      <w:r>
        <w:rPr>
          <w:rFonts w:eastAsia="Arial" w:cs="Arial"/>
        </w:rPr>
        <w:t>P</w:t>
      </w:r>
      <w:r w:rsidRPr="00BC58B9">
        <w:rPr>
          <w:rFonts w:eastAsia="Arial" w:cs="Arial"/>
        </w:rPr>
        <w:t xml:space="preserve">olítica </w:t>
      </w:r>
      <w:r>
        <w:rPr>
          <w:rFonts w:eastAsia="Arial" w:cs="Arial"/>
        </w:rPr>
        <w:t>N</w:t>
      </w:r>
      <w:r w:rsidRPr="00BC58B9">
        <w:rPr>
          <w:rFonts w:eastAsia="Arial" w:cs="Arial"/>
        </w:rPr>
        <w:t>acional, ya estatal</w:t>
      </w:r>
      <w:r>
        <w:rPr>
          <w:rFonts w:eastAsia="Arial" w:cs="Arial"/>
        </w:rPr>
        <w:t>.</w:t>
      </w:r>
      <w:r w:rsidRPr="00BC58B9">
        <w:rPr>
          <w:rFonts w:eastAsia="Arial" w:cs="Arial"/>
        </w:rPr>
        <w:t xml:space="preserve"> </w:t>
      </w:r>
      <w:r>
        <w:rPr>
          <w:rFonts w:eastAsia="Arial" w:cs="Arial"/>
        </w:rPr>
        <w:t>El</w:t>
      </w:r>
      <w:r w:rsidRPr="00BC58B9">
        <w:rPr>
          <w:rFonts w:eastAsia="Arial" w:cs="Arial"/>
        </w:rPr>
        <w:t xml:space="preserve"> catálogo de acciones y programas que </w:t>
      </w:r>
      <w:r>
        <w:rPr>
          <w:rFonts w:eastAsia="Arial" w:cs="Arial"/>
        </w:rPr>
        <w:t>se definieron</w:t>
      </w:r>
      <w:r w:rsidRPr="00BC58B9">
        <w:rPr>
          <w:rFonts w:eastAsia="Arial" w:cs="Arial"/>
        </w:rPr>
        <w:t xml:space="preserve"> en el </w:t>
      </w:r>
      <w:r>
        <w:rPr>
          <w:rFonts w:eastAsia="Arial" w:cs="Arial"/>
        </w:rPr>
        <w:t>T</w:t>
      </w:r>
      <w:r w:rsidRPr="00BC58B9">
        <w:rPr>
          <w:rFonts w:eastAsia="Arial" w:cs="Arial"/>
        </w:rPr>
        <w:t xml:space="preserve">aller de </w:t>
      </w:r>
      <w:r>
        <w:rPr>
          <w:rFonts w:eastAsia="Arial" w:cs="Arial"/>
        </w:rPr>
        <w:t>I</w:t>
      </w:r>
      <w:r w:rsidRPr="00BC58B9">
        <w:rPr>
          <w:rFonts w:eastAsia="Arial" w:cs="Arial"/>
        </w:rPr>
        <w:t xml:space="preserve">nteligencia </w:t>
      </w:r>
      <w:r>
        <w:rPr>
          <w:rFonts w:eastAsia="Arial" w:cs="Arial"/>
        </w:rPr>
        <w:t>C</w:t>
      </w:r>
      <w:r w:rsidRPr="00BC58B9">
        <w:rPr>
          <w:rFonts w:eastAsia="Arial" w:cs="Arial"/>
        </w:rPr>
        <w:t>olectiva son 271</w:t>
      </w:r>
      <w:r>
        <w:rPr>
          <w:rFonts w:eastAsia="Arial" w:cs="Arial"/>
        </w:rPr>
        <w:t>; considera</w:t>
      </w:r>
      <w:r w:rsidRPr="00BC58B9">
        <w:rPr>
          <w:rFonts w:eastAsia="Arial" w:cs="Arial"/>
        </w:rPr>
        <w:t xml:space="preserve"> que debería pasar por la validación de los titulares </w:t>
      </w:r>
      <w:r>
        <w:rPr>
          <w:rFonts w:eastAsia="Arial" w:cs="Arial"/>
        </w:rPr>
        <w:t xml:space="preserve">del Comité Coordinador, </w:t>
      </w:r>
      <w:r w:rsidRPr="00BC58B9">
        <w:rPr>
          <w:rFonts w:eastAsia="Arial" w:cs="Arial"/>
        </w:rPr>
        <w:t xml:space="preserve">es decir, si bien en el </w:t>
      </w:r>
      <w:r>
        <w:rPr>
          <w:rFonts w:eastAsia="Arial" w:cs="Arial"/>
        </w:rPr>
        <w:t>T</w:t>
      </w:r>
      <w:r w:rsidRPr="00BC58B9">
        <w:rPr>
          <w:rFonts w:eastAsia="Arial" w:cs="Arial"/>
        </w:rPr>
        <w:t xml:space="preserve">aller de </w:t>
      </w:r>
      <w:r>
        <w:rPr>
          <w:rFonts w:eastAsia="Arial" w:cs="Arial"/>
        </w:rPr>
        <w:t>I</w:t>
      </w:r>
      <w:r w:rsidRPr="00BC58B9">
        <w:rPr>
          <w:rFonts w:eastAsia="Arial" w:cs="Arial"/>
        </w:rPr>
        <w:t xml:space="preserve">nteligencia </w:t>
      </w:r>
      <w:r>
        <w:rPr>
          <w:rFonts w:eastAsia="Arial" w:cs="Arial"/>
        </w:rPr>
        <w:t>C</w:t>
      </w:r>
      <w:r w:rsidRPr="00BC58B9">
        <w:rPr>
          <w:rFonts w:eastAsia="Arial" w:cs="Arial"/>
        </w:rPr>
        <w:t>olectiva se trabajó con los enlaces, no sobra tener la validación de los titulares para determinar su factibilidad, sobre todo porque en la narrativa de estas secciones 8 y 9 pareciera que está estableciendo como obligatorio cumplir con las 271 acciones en el corto, mediano y largo plazo, y evidentemente genera una duda acerca de si las entidades que integran los sistemas locales van a tener la capacidad, tanto de personal como de presupuesto, para llevar a cabo estas 271 acciones</w:t>
      </w:r>
      <w:r>
        <w:rPr>
          <w:rFonts w:eastAsia="Arial" w:cs="Arial"/>
        </w:rPr>
        <w:t xml:space="preserve">. </w:t>
      </w:r>
    </w:p>
    <w:p w14:paraId="1BA53A79" w14:textId="77777777" w:rsidR="00CD4FDF" w:rsidRDefault="00CD4FDF" w:rsidP="00CD4FDF">
      <w:pPr>
        <w:rPr>
          <w:rFonts w:eastAsia="Arial" w:cs="Arial"/>
        </w:rPr>
      </w:pPr>
    </w:p>
    <w:p w14:paraId="1F4B9BBF" w14:textId="51F1E280" w:rsidR="00CD4FDF" w:rsidRDefault="00CD4FDF" w:rsidP="00CD4FDF">
      <w:pPr>
        <w:rPr>
          <w:rFonts w:eastAsia="Arial" w:cs="Arial"/>
        </w:rPr>
      </w:pPr>
      <w:r>
        <w:rPr>
          <w:rFonts w:eastAsia="Arial" w:cs="Arial"/>
        </w:rPr>
        <w:t xml:space="preserve">García Vázquez propone </w:t>
      </w:r>
      <w:r w:rsidRPr="00BB1DCD">
        <w:rPr>
          <w:rFonts w:eastAsia="Arial" w:cs="Arial"/>
        </w:rPr>
        <w:t xml:space="preserve">que la </w:t>
      </w:r>
      <w:r>
        <w:rPr>
          <w:rFonts w:eastAsia="Arial" w:cs="Arial"/>
        </w:rPr>
        <w:t>P</w:t>
      </w:r>
      <w:r w:rsidRPr="00BB1DCD">
        <w:rPr>
          <w:rFonts w:eastAsia="Arial" w:cs="Arial"/>
        </w:rPr>
        <w:t xml:space="preserve">olítica </w:t>
      </w:r>
      <w:r>
        <w:rPr>
          <w:rFonts w:eastAsia="Arial" w:cs="Arial"/>
        </w:rPr>
        <w:t>E</w:t>
      </w:r>
      <w:r w:rsidRPr="00BB1DCD">
        <w:rPr>
          <w:rFonts w:eastAsia="Arial" w:cs="Arial"/>
        </w:rPr>
        <w:t xml:space="preserve">statal adoptara el término de acciones anticorrupción sugeridas, que después pudieran agruparse en programas. </w:t>
      </w:r>
      <w:r>
        <w:rPr>
          <w:rFonts w:eastAsia="Arial" w:cs="Arial"/>
        </w:rPr>
        <w:t>Le parece</w:t>
      </w:r>
      <w:r w:rsidRPr="00BB1DCD">
        <w:rPr>
          <w:rFonts w:eastAsia="Arial" w:cs="Arial"/>
        </w:rPr>
        <w:t xml:space="preserve"> que es importante porque </w:t>
      </w:r>
      <w:r>
        <w:rPr>
          <w:rFonts w:eastAsia="Arial" w:cs="Arial"/>
        </w:rPr>
        <w:t>en una lectura del documento</w:t>
      </w:r>
      <w:r w:rsidRPr="00BB1DCD">
        <w:rPr>
          <w:rFonts w:eastAsia="Arial" w:cs="Arial"/>
        </w:rPr>
        <w:t xml:space="preserve">, en </w:t>
      </w:r>
      <w:r>
        <w:rPr>
          <w:rFonts w:eastAsia="Arial" w:cs="Arial"/>
        </w:rPr>
        <w:t>las</w:t>
      </w:r>
      <w:r w:rsidRPr="00BB1DCD">
        <w:rPr>
          <w:rFonts w:eastAsia="Arial" w:cs="Arial"/>
        </w:rPr>
        <w:t xml:space="preserve"> secciones </w:t>
      </w:r>
      <w:r>
        <w:rPr>
          <w:rFonts w:eastAsia="Arial" w:cs="Arial"/>
        </w:rPr>
        <w:t xml:space="preserve">mencionadas, </w:t>
      </w:r>
      <w:r w:rsidRPr="00BB1DCD">
        <w:rPr>
          <w:rFonts w:eastAsia="Arial" w:cs="Arial"/>
        </w:rPr>
        <w:t>parece que las acciones y los programas tienen el mismo nivel de importancia</w:t>
      </w:r>
      <w:r>
        <w:rPr>
          <w:rFonts w:eastAsia="Arial" w:cs="Arial"/>
        </w:rPr>
        <w:t>,</w:t>
      </w:r>
      <w:r w:rsidRPr="00BB1DCD">
        <w:rPr>
          <w:rFonts w:eastAsia="Arial" w:cs="Arial"/>
        </w:rPr>
        <w:t xml:space="preserve"> y en el diseño de política pública son </w:t>
      </w:r>
      <w:r>
        <w:rPr>
          <w:rFonts w:eastAsia="Arial" w:cs="Arial"/>
        </w:rPr>
        <w:t xml:space="preserve">primero </w:t>
      </w:r>
      <w:r w:rsidRPr="00BB1DCD">
        <w:rPr>
          <w:rFonts w:eastAsia="Arial" w:cs="Arial"/>
        </w:rPr>
        <w:t>los programas y las acciones son las que no traen la realización de los programas</w:t>
      </w:r>
      <w:r>
        <w:rPr>
          <w:rFonts w:eastAsia="Arial" w:cs="Arial"/>
        </w:rPr>
        <w:t xml:space="preserve">. Comenta </w:t>
      </w:r>
      <w:r w:rsidR="007220A8">
        <w:rPr>
          <w:rFonts w:eastAsia="Arial" w:cs="Arial"/>
        </w:rPr>
        <w:t>que,</w:t>
      </w:r>
      <w:r>
        <w:rPr>
          <w:rFonts w:eastAsia="Arial" w:cs="Arial"/>
        </w:rPr>
        <w:t xml:space="preserve"> si se tiene claramente establecido,</w:t>
      </w:r>
      <w:r w:rsidRPr="00BB1DCD">
        <w:rPr>
          <w:rFonts w:eastAsia="Arial" w:cs="Arial"/>
        </w:rPr>
        <w:t xml:space="preserve"> en el largo plazo no va a permitir tener una evaluación precisa, con una trazabilidad presupuestari</w:t>
      </w:r>
      <w:r>
        <w:rPr>
          <w:rFonts w:eastAsia="Arial" w:cs="Arial"/>
        </w:rPr>
        <w:t xml:space="preserve">a. </w:t>
      </w:r>
    </w:p>
    <w:p w14:paraId="004D358F" w14:textId="77777777" w:rsidR="00CD4FDF" w:rsidRDefault="00CD4FDF" w:rsidP="00CD4FDF">
      <w:pPr>
        <w:rPr>
          <w:rFonts w:eastAsia="Arial" w:cs="Arial"/>
        </w:rPr>
      </w:pPr>
    </w:p>
    <w:p w14:paraId="32A2BFC3" w14:textId="677F26A3" w:rsidR="00CD4FDF" w:rsidRDefault="00CD4FDF" w:rsidP="00CD4FDF">
      <w:pPr>
        <w:rPr>
          <w:rFonts w:eastAsia="Arial" w:cs="Arial"/>
        </w:rPr>
      </w:pPr>
      <w:r>
        <w:rPr>
          <w:rFonts w:eastAsia="Arial" w:cs="Arial"/>
        </w:rPr>
        <w:t>Considera que es necesario</w:t>
      </w:r>
      <w:r w:rsidRPr="00BB1DCD">
        <w:rPr>
          <w:rFonts w:eastAsia="Arial" w:cs="Arial"/>
        </w:rPr>
        <w:t xml:space="preserve"> distinguir y</w:t>
      </w:r>
      <w:r>
        <w:rPr>
          <w:rFonts w:eastAsia="Arial" w:cs="Arial"/>
        </w:rPr>
        <w:t>,</w:t>
      </w:r>
      <w:r w:rsidRPr="00BB1DCD">
        <w:rPr>
          <w:rFonts w:eastAsia="Arial" w:cs="Arial"/>
        </w:rPr>
        <w:t xml:space="preserve"> en ese sentido</w:t>
      </w:r>
      <w:r>
        <w:rPr>
          <w:rFonts w:eastAsia="Arial" w:cs="Arial"/>
        </w:rPr>
        <w:t xml:space="preserve">, destaca </w:t>
      </w:r>
      <w:r w:rsidRPr="00BB1DCD">
        <w:rPr>
          <w:rFonts w:eastAsia="Arial" w:cs="Arial"/>
        </w:rPr>
        <w:t>que hay un concepto que está en la sección 9</w:t>
      </w:r>
      <w:r>
        <w:rPr>
          <w:rFonts w:eastAsia="Arial" w:cs="Arial"/>
        </w:rPr>
        <w:t>,</w:t>
      </w:r>
      <w:r w:rsidRPr="00BB1DCD">
        <w:rPr>
          <w:rFonts w:eastAsia="Arial" w:cs="Arial"/>
        </w:rPr>
        <w:t xml:space="preserve"> que se refiere a la co</w:t>
      </w:r>
      <w:r w:rsidR="007220A8">
        <w:rPr>
          <w:rFonts w:eastAsia="Arial" w:cs="Arial"/>
        </w:rPr>
        <w:t xml:space="preserve"> </w:t>
      </w:r>
      <w:r w:rsidRPr="00BB1DCD">
        <w:rPr>
          <w:rFonts w:eastAsia="Arial" w:cs="Arial"/>
        </w:rPr>
        <w:t>creación de los programas</w:t>
      </w:r>
      <w:r>
        <w:rPr>
          <w:rFonts w:eastAsia="Arial" w:cs="Arial"/>
        </w:rPr>
        <w:t xml:space="preserve">. Refiere que en </w:t>
      </w:r>
      <w:r w:rsidRPr="00BB1DCD">
        <w:rPr>
          <w:rFonts w:eastAsia="Arial" w:cs="Arial"/>
        </w:rPr>
        <w:t xml:space="preserve">la sesión pasada de la Comisión Ejecutiva </w:t>
      </w:r>
      <w:r>
        <w:rPr>
          <w:rFonts w:eastAsia="Arial" w:cs="Arial"/>
        </w:rPr>
        <w:t>se establecieron</w:t>
      </w:r>
      <w:r w:rsidRPr="00BB1DCD">
        <w:rPr>
          <w:rFonts w:eastAsia="Arial" w:cs="Arial"/>
        </w:rPr>
        <w:t xml:space="preserve"> </w:t>
      </w:r>
      <w:r>
        <w:rPr>
          <w:rFonts w:eastAsia="Arial" w:cs="Arial"/>
        </w:rPr>
        <w:t>cuatro</w:t>
      </w:r>
      <w:r w:rsidRPr="00BB1DCD">
        <w:rPr>
          <w:rFonts w:eastAsia="Arial" w:cs="Arial"/>
        </w:rPr>
        <w:t xml:space="preserve"> programas marco, que es el paraguas suficiente como para desarrollar todos los programas específicos que se vayan a proponer en materia anticorrupción y que van a estar alineados a </w:t>
      </w:r>
      <w:r>
        <w:rPr>
          <w:rFonts w:eastAsia="Arial" w:cs="Arial"/>
        </w:rPr>
        <w:t>las</w:t>
      </w:r>
      <w:r w:rsidRPr="00BB1DCD">
        <w:rPr>
          <w:rFonts w:eastAsia="Arial" w:cs="Arial"/>
        </w:rPr>
        <w:t xml:space="preserve"> acciones que devienen de la </w:t>
      </w:r>
      <w:r>
        <w:rPr>
          <w:rFonts w:eastAsia="Arial" w:cs="Arial"/>
        </w:rPr>
        <w:t>P</w:t>
      </w:r>
      <w:r w:rsidRPr="00BB1DCD">
        <w:rPr>
          <w:rFonts w:eastAsia="Arial" w:cs="Arial"/>
        </w:rPr>
        <w:t xml:space="preserve">olítica </w:t>
      </w:r>
      <w:r>
        <w:rPr>
          <w:rFonts w:eastAsia="Arial" w:cs="Arial"/>
        </w:rPr>
        <w:t>N</w:t>
      </w:r>
      <w:r w:rsidRPr="00BB1DCD">
        <w:rPr>
          <w:rFonts w:eastAsia="Arial" w:cs="Arial"/>
        </w:rPr>
        <w:t xml:space="preserve">acional </w:t>
      </w:r>
      <w:r>
        <w:rPr>
          <w:rFonts w:eastAsia="Arial" w:cs="Arial"/>
        </w:rPr>
        <w:t>A</w:t>
      </w:r>
      <w:r w:rsidRPr="00BB1DCD">
        <w:rPr>
          <w:rFonts w:eastAsia="Arial" w:cs="Arial"/>
        </w:rPr>
        <w:t>nticorrupción</w:t>
      </w:r>
      <w:r>
        <w:rPr>
          <w:rFonts w:eastAsia="Arial" w:cs="Arial"/>
        </w:rPr>
        <w:t xml:space="preserve">. </w:t>
      </w:r>
    </w:p>
    <w:p w14:paraId="50005792" w14:textId="77777777" w:rsidR="00CD4FDF" w:rsidRDefault="00CD4FDF" w:rsidP="00CD4FDF">
      <w:pPr>
        <w:rPr>
          <w:rFonts w:eastAsia="Arial" w:cs="Arial"/>
        </w:rPr>
      </w:pPr>
    </w:p>
    <w:p w14:paraId="19AAB61C" w14:textId="28580753" w:rsidR="00CD4FDF" w:rsidRDefault="00CD4FDF" w:rsidP="00CD4FDF">
      <w:pPr>
        <w:rPr>
          <w:rFonts w:eastAsia="Arial" w:cs="Arial"/>
        </w:rPr>
      </w:pPr>
      <w:r>
        <w:rPr>
          <w:rFonts w:eastAsia="Arial" w:cs="Arial"/>
        </w:rPr>
        <w:t>García Vázquez enfatiza</w:t>
      </w:r>
      <w:r w:rsidRPr="00BB1DCD">
        <w:rPr>
          <w:rFonts w:eastAsia="Arial" w:cs="Arial"/>
        </w:rPr>
        <w:t xml:space="preserve"> la importancia de tener </w:t>
      </w:r>
      <w:r>
        <w:rPr>
          <w:rFonts w:eastAsia="Arial" w:cs="Arial"/>
        </w:rPr>
        <w:t>los</w:t>
      </w:r>
      <w:r w:rsidRPr="00BB1DCD">
        <w:rPr>
          <w:rFonts w:eastAsia="Arial" w:cs="Arial"/>
        </w:rPr>
        <w:t xml:space="preserve"> </w:t>
      </w:r>
      <w:r>
        <w:rPr>
          <w:rFonts w:eastAsia="Arial" w:cs="Arial"/>
        </w:rPr>
        <w:t>cuatro</w:t>
      </w:r>
      <w:r w:rsidRPr="00BB1DCD">
        <w:rPr>
          <w:rFonts w:eastAsia="Arial" w:cs="Arial"/>
        </w:rPr>
        <w:t xml:space="preserve"> programas marco y lo que podría eventualmente realizarse con </w:t>
      </w:r>
      <w:r>
        <w:rPr>
          <w:rFonts w:eastAsia="Arial" w:cs="Arial"/>
        </w:rPr>
        <w:t>dichos</w:t>
      </w:r>
      <w:r w:rsidRPr="00BB1DCD">
        <w:rPr>
          <w:rFonts w:eastAsia="Arial" w:cs="Arial"/>
        </w:rPr>
        <w:t xml:space="preserve"> programas</w:t>
      </w:r>
      <w:r>
        <w:rPr>
          <w:rFonts w:eastAsia="Arial" w:cs="Arial"/>
        </w:rPr>
        <w:t>. E</w:t>
      </w:r>
      <w:r w:rsidRPr="00BB1DCD">
        <w:rPr>
          <w:rFonts w:eastAsia="Arial" w:cs="Arial"/>
        </w:rPr>
        <w:t xml:space="preserve">s una sección que habría que desarrollar más en el documento de </w:t>
      </w:r>
      <w:r>
        <w:rPr>
          <w:rFonts w:eastAsia="Arial" w:cs="Arial"/>
        </w:rPr>
        <w:t>P</w:t>
      </w:r>
      <w:r w:rsidRPr="00BB1DCD">
        <w:rPr>
          <w:rFonts w:eastAsia="Arial" w:cs="Arial"/>
        </w:rPr>
        <w:t xml:space="preserve">olítica </w:t>
      </w:r>
      <w:r>
        <w:rPr>
          <w:rFonts w:eastAsia="Arial" w:cs="Arial"/>
        </w:rPr>
        <w:t>E</w:t>
      </w:r>
      <w:r w:rsidRPr="00BB1DCD">
        <w:rPr>
          <w:rFonts w:eastAsia="Arial" w:cs="Arial"/>
        </w:rPr>
        <w:t xml:space="preserve">statal. En ese sentido, finalmente </w:t>
      </w:r>
      <w:r>
        <w:rPr>
          <w:rFonts w:eastAsia="Arial" w:cs="Arial"/>
        </w:rPr>
        <w:t xml:space="preserve">señala </w:t>
      </w:r>
      <w:r w:rsidRPr="00BB1DCD">
        <w:rPr>
          <w:rFonts w:eastAsia="Arial" w:cs="Arial"/>
        </w:rPr>
        <w:t xml:space="preserve">que </w:t>
      </w:r>
      <w:r>
        <w:rPr>
          <w:rFonts w:eastAsia="Arial" w:cs="Arial"/>
        </w:rPr>
        <w:t xml:space="preserve">para </w:t>
      </w:r>
      <w:r w:rsidRPr="00BB1DCD">
        <w:rPr>
          <w:rFonts w:eastAsia="Arial" w:cs="Arial"/>
        </w:rPr>
        <w:t xml:space="preserve">hacer </w:t>
      </w:r>
      <w:r>
        <w:rPr>
          <w:rFonts w:eastAsia="Arial" w:cs="Arial"/>
        </w:rPr>
        <w:t xml:space="preserve">los </w:t>
      </w:r>
      <w:r w:rsidRPr="00BB1DCD">
        <w:rPr>
          <w:rFonts w:eastAsia="Arial" w:cs="Arial"/>
        </w:rPr>
        <w:t>ajustes valdría la pena que fuera una discusión entre los actores involucrados presentes, los titulares de las dependencias, lo</w:t>
      </w:r>
      <w:r>
        <w:rPr>
          <w:rFonts w:eastAsia="Arial" w:cs="Arial"/>
        </w:rPr>
        <w:t>s</w:t>
      </w:r>
      <w:r w:rsidRPr="00BB1DCD">
        <w:rPr>
          <w:rFonts w:eastAsia="Arial" w:cs="Arial"/>
        </w:rPr>
        <w:t xml:space="preserve"> enlaces que asistieron al </w:t>
      </w:r>
      <w:r>
        <w:rPr>
          <w:rFonts w:eastAsia="Arial" w:cs="Arial"/>
        </w:rPr>
        <w:t>T</w:t>
      </w:r>
      <w:r w:rsidRPr="00BB1DCD">
        <w:rPr>
          <w:rFonts w:eastAsia="Arial" w:cs="Arial"/>
        </w:rPr>
        <w:t xml:space="preserve">aller de </w:t>
      </w:r>
      <w:r>
        <w:rPr>
          <w:rFonts w:eastAsia="Arial" w:cs="Arial"/>
        </w:rPr>
        <w:t>I</w:t>
      </w:r>
      <w:r w:rsidRPr="00BB1DCD">
        <w:rPr>
          <w:rFonts w:eastAsia="Arial" w:cs="Arial"/>
        </w:rPr>
        <w:t>nteligencia</w:t>
      </w:r>
      <w:r>
        <w:rPr>
          <w:rFonts w:eastAsia="Arial" w:cs="Arial"/>
        </w:rPr>
        <w:t xml:space="preserve"> C</w:t>
      </w:r>
      <w:r w:rsidRPr="00BB1DCD">
        <w:rPr>
          <w:rFonts w:eastAsia="Arial" w:cs="Arial"/>
        </w:rPr>
        <w:t>olectiva y la Comisión Ejecutiva.</w:t>
      </w:r>
    </w:p>
    <w:p w14:paraId="1DA7D6C5" w14:textId="541DBA9E" w:rsidR="00CD4FDF" w:rsidRDefault="00CD4FDF" w:rsidP="00CD4FDF">
      <w:pPr>
        <w:rPr>
          <w:rFonts w:eastAsia="Arial" w:cs="Arial"/>
        </w:rPr>
      </w:pPr>
      <w:r>
        <w:rPr>
          <w:rFonts w:eastAsia="Arial" w:cs="Arial"/>
        </w:rPr>
        <w:t xml:space="preserve">La Dra. Annel A. Vázquez Anderson </w:t>
      </w:r>
      <w:r w:rsidRPr="001C30B1">
        <w:rPr>
          <w:rFonts w:eastAsia="Arial" w:cs="Arial"/>
        </w:rPr>
        <w:t>agradece</w:t>
      </w:r>
      <w:r>
        <w:rPr>
          <w:rFonts w:eastAsia="Arial" w:cs="Arial"/>
        </w:rPr>
        <w:t xml:space="preserve"> </w:t>
      </w:r>
      <w:r w:rsidRPr="001C30B1">
        <w:rPr>
          <w:rFonts w:eastAsia="Arial" w:cs="Arial"/>
        </w:rPr>
        <w:t>a todas y todos lo que participa</w:t>
      </w:r>
      <w:r>
        <w:rPr>
          <w:rFonts w:eastAsia="Arial" w:cs="Arial"/>
        </w:rPr>
        <w:t xml:space="preserve">ron </w:t>
      </w:r>
      <w:r w:rsidRPr="001C30B1">
        <w:rPr>
          <w:rFonts w:eastAsia="Arial" w:cs="Arial"/>
        </w:rPr>
        <w:t>en la elaboración de</w:t>
      </w:r>
      <w:r>
        <w:rPr>
          <w:rFonts w:eastAsia="Arial" w:cs="Arial"/>
        </w:rPr>
        <w:t xml:space="preserve"> la</w:t>
      </w:r>
      <w:r w:rsidRPr="001C30B1">
        <w:rPr>
          <w:rFonts w:eastAsia="Arial" w:cs="Arial"/>
        </w:rPr>
        <w:t xml:space="preserve"> política, la Secretaría Ejecutiva y el liderazgo</w:t>
      </w:r>
      <w:r>
        <w:rPr>
          <w:rFonts w:eastAsia="Arial" w:cs="Arial"/>
        </w:rPr>
        <w:t xml:space="preserve"> y </w:t>
      </w:r>
      <w:r w:rsidRPr="001C30B1">
        <w:rPr>
          <w:rFonts w:eastAsia="Arial" w:cs="Arial"/>
        </w:rPr>
        <w:t>la coordinación de estos trabajos</w:t>
      </w:r>
      <w:r>
        <w:rPr>
          <w:rFonts w:eastAsia="Arial" w:cs="Arial"/>
        </w:rPr>
        <w:t xml:space="preserve"> que se ha tenido. Considera que es </w:t>
      </w:r>
      <w:r w:rsidRPr="001C30B1">
        <w:rPr>
          <w:rFonts w:eastAsia="Arial" w:cs="Arial"/>
        </w:rPr>
        <w:t>un gran avance no solo para Jalisco</w:t>
      </w:r>
      <w:r>
        <w:rPr>
          <w:rFonts w:eastAsia="Arial" w:cs="Arial"/>
        </w:rPr>
        <w:t>,</w:t>
      </w:r>
      <w:r w:rsidRPr="001C30B1">
        <w:rPr>
          <w:rFonts w:eastAsia="Arial" w:cs="Arial"/>
        </w:rPr>
        <w:t xml:space="preserve"> sino en general en el combate a la corrupción, </w:t>
      </w:r>
      <w:r>
        <w:rPr>
          <w:rFonts w:eastAsia="Arial" w:cs="Arial"/>
        </w:rPr>
        <w:t xml:space="preserve">ya que </w:t>
      </w:r>
      <w:r w:rsidRPr="001C30B1">
        <w:rPr>
          <w:rFonts w:eastAsia="Arial" w:cs="Arial"/>
        </w:rPr>
        <w:t>en el control de la corrupción</w:t>
      </w:r>
      <w:r>
        <w:rPr>
          <w:rFonts w:eastAsia="Arial" w:cs="Arial"/>
        </w:rPr>
        <w:t xml:space="preserve"> </w:t>
      </w:r>
      <w:r w:rsidRPr="001C30B1">
        <w:rPr>
          <w:rFonts w:eastAsia="Arial" w:cs="Arial"/>
        </w:rPr>
        <w:t>parec</w:t>
      </w:r>
      <w:r>
        <w:rPr>
          <w:rFonts w:eastAsia="Arial" w:cs="Arial"/>
        </w:rPr>
        <w:t xml:space="preserve">e </w:t>
      </w:r>
      <w:r w:rsidRPr="001C30B1">
        <w:rPr>
          <w:rFonts w:eastAsia="Arial" w:cs="Arial"/>
        </w:rPr>
        <w:t xml:space="preserve">que muchos de los esfuerzos que se han realizado han dependido en la voluntad de los actores, probablemente de alguno o que otra idea genial, del algunas improvisaciones, y el hecho de que ya </w:t>
      </w:r>
      <w:r>
        <w:rPr>
          <w:rFonts w:eastAsia="Arial" w:cs="Arial"/>
        </w:rPr>
        <w:t xml:space="preserve">se tenga </w:t>
      </w:r>
      <w:r w:rsidRPr="001C30B1">
        <w:rPr>
          <w:rFonts w:eastAsia="Arial" w:cs="Arial"/>
        </w:rPr>
        <w:t>una política permite</w:t>
      </w:r>
      <w:r>
        <w:rPr>
          <w:rFonts w:eastAsia="Arial" w:cs="Arial"/>
        </w:rPr>
        <w:t xml:space="preserve"> </w:t>
      </w:r>
      <w:r w:rsidRPr="001C30B1">
        <w:rPr>
          <w:rFonts w:eastAsia="Arial" w:cs="Arial"/>
        </w:rPr>
        <w:t>lo que han dicho todas las teorías y los teóricos de las políticas públicas</w:t>
      </w:r>
      <w:r>
        <w:rPr>
          <w:rFonts w:eastAsia="Arial" w:cs="Arial"/>
        </w:rPr>
        <w:t>:</w:t>
      </w:r>
      <w:r w:rsidRPr="001C30B1">
        <w:rPr>
          <w:rFonts w:eastAsia="Arial" w:cs="Arial"/>
        </w:rPr>
        <w:t xml:space="preserve"> hacer racional la toma de decisiones, permitir que haya una institucionalización</w:t>
      </w:r>
      <w:r>
        <w:rPr>
          <w:rFonts w:eastAsia="Arial" w:cs="Arial"/>
        </w:rPr>
        <w:t>,</w:t>
      </w:r>
      <w:r w:rsidRPr="001C30B1">
        <w:rPr>
          <w:rFonts w:eastAsia="Arial" w:cs="Arial"/>
        </w:rPr>
        <w:t xml:space="preserve"> una racionalidad de toma de decisiones</w:t>
      </w:r>
      <w:r>
        <w:rPr>
          <w:rFonts w:eastAsia="Arial" w:cs="Arial"/>
        </w:rPr>
        <w:t xml:space="preserve">. </w:t>
      </w:r>
    </w:p>
    <w:p w14:paraId="138D1379" w14:textId="77777777" w:rsidR="00CD4FDF" w:rsidRDefault="00CD4FDF" w:rsidP="00CD4FDF">
      <w:pPr>
        <w:rPr>
          <w:rFonts w:eastAsia="Arial" w:cs="Arial"/>
        </w:rPr>
      </w:pPr>
    </w:p>
    <w:p w14:paraId="4AE70DD2" w14:textId="2630B4CB" w:rsidR="00CD4FDF" w:rsidRDefault="00CD4FDF" w:rsidP="00CD4FDF">
      <w:pPr>
        <w:rPr>
          <w:rFonts w:eastAsia="Arial" w:cs="Arial"/>
        </w:rPr>
      </w:pPr>
      <w:r>
        <w:rPr>
          <w:rFonts w:eastAsia="Arial" w:cs="Arial"/>
        </w:rPr>
        <w:t>N</w:t>
      </w:r>
      <w:r w:rsidRPr="001C30B1">
        <w:rPr>
          <w:rFonts w:eastAsia="Arial" w:cs="Arial"/>
        </w:rPr>
        <w:t>o es cualquier cosa</w:t>
      </w:r>
      <w:r>
        <w:rPr>
          <w:rFonts w:eastAsia="Arial" w:cs="Arial"/>
        </w:rPr>
        <w:t>;</w:t>
      </w:r>
      <w:r w:rsidRPr="001C30B1">
        <w:rPr>
          <w:rFonts w:eastAsia="Arial" w:cs="Arial"/>
        </w:rPr>
        <w:t xml:space="preserve"> con e</w:t>
      </w:r>
      <w:r>
        <w:rPr>
          <w:rFonts w:eastAsia="Arial" w:cs="Arial"/>
        </w:rPr>
        <w:t>llo, refiere</w:t>
      </w:r>
      <w:r w:rsidRPr="001C30B1">
        <w:rPr>
          <w:rFonts w:eastAsia="Arial" w:cs="Arial"/>
        </w:rPr>
        <w:t xml:space="preserve"> que la política </w:t>
      </w:r>
      <w:r>
        <w:rPr>
          <w:rFonts w:eastAsia="Arial" w:cs="Arial"/>
        </w:rPr>
        <w:t xml:space="preserve">no </w:t>
      </w:r>
      <w:r w:rsidRPr="001C30B1">
        <w:rPr>
          <w:rFonts w:eastAsia="Arial" w:cs="Arial"/>
        </w:rPr>
        <w:t>es un instrumento más que debía aprobarse</w:t>
      </w:r>
      <w:r>
        <w:rPr>
          <w:rFonts w:eastAsia="Arial" w:cs="Arial"/>
        </w:rPr>
        <w:t>,</w:t>
      </w:r>
      <w:r w:rsidRPr="001C30B1">
        <w:rPr>
          <w:rFonts w:eastAsia="Arial" w:cs="Arial"/>
        </w:rPr>
        <w:t xml:space="preserve"> sino un instrumento fundamental, es precisamente lo que va a permitir que cualquier decisión, cualquier estrategia, cualquier proyecto</w:t>
      </w:r>
      <w:r>
        <w:rPr>
          <w:rFonts w:eastAsia="Arial" w:cs="Arial"/>
        </w:rPr>
        <w:t xml:space="preserve"> o</w:t>
      </w:r>
      <w:r w:rsidRPr="001C30B1">
        <w:rPr>
          <w:rFonts w:eastAsia="Arial" w:cs="Arial"/>
        </w:rPr>
        <w:t xml:space="preserve"> programa sea racional, integrad</w:t>
      </w:r>
      <w:r>
        <w:rPr>
          <w:rFonts w:eastAsia="Arial" w:cs="Arial"/>
        </w:rPr>
        <w:t>o</w:t>
      </w:r>
      <w:r w:rsidRPr="001C30B1">
        <w:rPr>
          <w:rFonts w:eastAsia="Arial" w:cs="Arial"/>
        </w:rPr>
        <w:t xml:space="preserve">, con un sentido, o la búsqueda de un objetivo. </w:t>
      </w:r>
    </w:p>
    <w:p w14:paraId="35948D30" w14:textId="77777777" w:rsidR="00CD4FDF" w:rsidRDefault="00CD4FDF" w:rsidP="00CD4FDF">
      <w:pPr>
        <w:rPr>
          <w:rFonts w:eastAsia="Arial" w:cs="Arial"/>
        </w:rPr>
      </w:pPr>
    </w:p>
    <w:p w14:paraId="1D0A0B5B" w14:textId="1EF9422E" w:rsidR="00CD4FDF" w:rsidRDefault="00CD4FDF" w:rsidP="00CD4FDF">
      <w:pPr>
        <w:rPr>
          <w:rFonts w:eastAsia="Arial" w:cs="Arial"/>
        </w:rPr>
      </w:pPr>
      <w:r>
        <w:rPr>
          <w:rFonts w:eastAsia="Arial" w:cs="Arial"/>
        </w:rPr>
        <w:t>Hace</w:t>
      </w:r>
      <w:r w:rsidRPr="001C30B1">
        <w:rPr>
          <w:rFonts w:eastAsia="Arial" w:cs="Arial"/>
        </w:rPr>
        <w:t xml:space="preserve"> </w:t>
      </w:r>
      <w:r>
        <w:rPr>
          <w:rFonts w:eastAsia="Arial" w:cs="Arial"/>
        </w:rPr>
        <w:t>la</w:t>
      </w:r>
      <w:r w:rsidRPr="001C30B1">
        <w:rPr>
          <w:rFonts w:eastAsia="Arial" w:cs="Arial"/>
        </w:rPr>
        <w:t xml:space="preserve"> reflexión de que no se viese solo como un requisito, como algo que debía tenerse, sino como una verdadera guía en la toma de decisiones de todas las instancias que forma</w:t>
      </w:r>
      <w:r>
        <w:rPr>
          <w:rFonts w:eastAsia="Arial" w:cs="Arial"/>
        </w:rPr>
        <w:t>n</w:t>
      </w:r>
      <w:r w:rsidRPr="001C30B1">
        <w:rPr>
          <w:rFonts w:eastAsia="Arial" w:cs="Arial"/>
        </w:rPr>
        <w:t xml:space="preserve"> parte del Sistema Estatal Anticorrupción</w:t>
      </w:r>
      <w:r>
        <w:rPr>
          <w:rFonts w:eastAsia="Arial" w:cs="Arial"/>
        </w:rPr>
        <w:t xml:space="preserve"> de Jalisco</w:t>
      </w:r>
      <w:r w:rsidRPr="001C30B1">
        <w:rPr>
          <w:rFonts w:eastAsia="Arial" w:cs="Arial"/>
        </w:rPr>
        <w:t>.</w:t>
      </w:r>
    </w:p>
    <w:p w14:paraId="5B6CAD16" w14:textId="77777777" w:rsidR="00CD4FDF" w:rsidRDefault="00CD4FDF" w:rsidP="00CD4FDF">
      <w:pPr>
        <w:rPr>
          <w:rFonts w:eastAsia="Arial" w:cs="Arial"/>
        </w:rPr>
      </w:pPr>
    </w:p>
    <w:p w14:paraId="25626246" w14:textId="1F0E846B" w:rsidR="00CD4FDF" w:rsidRDefault="00CD4FDF" w:rsidP="00CD4FDF">
      <w:pPr>
        <w:rPr>
          <w:rFonts w:eastAsia="Arial" w:cs="Arial"/>
        </w:rPr>
      </w:pPr>
      <w:r>
        <w:rPr>
          <w:rFonts w:eastAsia="Arial" w:cs="Arial"/>
        </w:rPr>
        <w:t>Vázquez Anderson menciona que es fundamental</w:t>
      </w:r>
      <w:r w:rsidRPr="001A611D">
        <w:rPr>
          <w:rFonts w:eastAsia="Arial" w:cs="Arial"/>
        </w:rPr>
        <w:t xml:space="preserve"> entender</w:t>
      </w:r>
      <w:r>
        <w:rPr>
          <w:rFonts w:eastAsia="Arial" w:cs="Arial"/>
        </w:rPr>
        <w:t xml:space="preserve">, como lo dice </w:t>
      </w:r>
      <w:r w:rsidRPr="001A611D">
        <w:rPr>
          <w:rFonts w:eastAsia="Arial" w:cs="Arial"/>
        </w:rPr>
        <w:t>Nieves Zúñiga</w:t>
      </w:r>
      <w:r>
        <w:rPr>
          <w:rFonts w:eastAsia="Arial" w:cs="Arial"/>
        </w:rPr>
        <w:t>,</w:t>
      </w:r>
      <w:r w:rsidRPr="001A611D">
        <w:rPr>
          <w:rFonts w:eastAsia="Arial" w:cs="Arial"/>
        </w:rPr>
        <w:t xml:space="preserve"> de Transparencia Internacional, que </w:t>
      </w:r>
      <w:r>
        <w:rPr>
          <w:rFonts w:eastAsia="Arial" w:cs="Arial"/>
        </w:rPr>
        <w:t>hay</w:t>
      </w:r>
      <w:r w:rsidRPr="001A611D">
        <w:rPr>
          <w:rFonts w:eastAsia="Arial" w:cs="Arial"/>
        </w:rPr>
        <w:t xml:space="preserve"> políticas anticorrupción</w:t>
      </w:r>
      <w:r>
        <w:rPr>
          <w:rFonts w:eastAsia="Arial" w:cs="Arial"/>
        </w:rPr>
        <w:t xml:space="preserve"> que</w:t>
      </w:r>
      <w:r w:rsidRPr="001A611D">
        <w:rPr>
          <w:rFonts w:eastAsia="Arial" w:cs="Arial"/>
        </w:rPr>
        <w:t xml:space="preserve"> hasta el momento no han funcionado porque se considera a la corrupción como un problema finito, que se puede acabar y en realidad es un problema infinito, que se readapta, que se reajusta</w:t>
      </w:r>
      <w:r>
        <w:rPr>
          <w:rFonts w:eastAsia="Arial" w:cs="Arial"/>
        </w:rPr>
        <w:t>. E</w:t>
      </w:r>
      <w:r w:rsidRPr="001A611D">
        <w:rPr>
          <w:rFonts w:eastAsia="Arial" w:cs="Arial"/>
        </w:rPr>
        <w:t xml:space="preserve">ntonces entender </w:t>
      </w:r>
      <w:r w:rsidR="007220A8" w:rsidRPr="001A611D">
        <w:rPr>
          <w:rFonts w:eastAsia="Arial" w:cs="Arial"/>
        </w:rPr>
        <w:t>que,</w:t>
      </w:r>
      <w:r w:rsidRPr="001A611D">
        <w:rPr>
          <w:rFonts w:eastAsia="Arial" w:cs="Arial"/>
        </w:rPr>
        <w:t xml:space="preserve"> si el problema es infinito, que se adapta y se reajusta, la política también tendrá que ser así</w:t>
      </w:r>
      <w:r>
        <w:rPr>
          <w:rFonts w:eastAsia="Arial" w:cs="Arial"/>
        </w:rPr>
        <w:t>.</w:t>
      </w:r>
      <w:r w:rsidRPr="001A611D">
        <w:rPr>
          <w:rFonts w:eastAsia="Arial" w:cs="Arial"/>
        </w:rPr>
        <w:t xml:space="preserve"> </w:t>
      </w:r>
    </w:p>
    <w:p w14:paraId="6C8F434F" w14:textId="77777777" w:rsidR="00CD4FDF" w:rsidRDefault="00CD4FDF" w:rsidP="00CD4FDF">
      <w:pPr>
        <w:rPr>
          <w:rFonts w:eastAsia="Arial" w:cs="Arial"/>
        </w:rPr>
      </w:pPr>
    </w:p>
    <w:p w14:paraId="693CCAF0" w14:textId="5C424D66" w:rsidR="00CD4FDF" w:rsidRDefault="00CD4FDF" w:rsidP="00CD4FDF">
      <w:pPr>
        <w:rPr>
          <w:rFonts w:eastAsia="Arial" w:cs="Arial"/>
        </w:rPr>
      </w:pPr>
      <w:r>
        <w:rPr>
          <w:rFonts w:eastAsia="Arial" w:cs="Arial"/>
        </w:rPr>
        <w:t>Po</w:t>
      </w:r>
      <w:r w:rsidRPr="001A611D">
        <w:rPr>
          <w:rFonts w:eastAsia="Arial" w:cs="Arial"/>
        </w:rPr>
        <w:t>r lo tanto</w:t>
      </w:r>
      <w:r>
        <w:rPr>
          <w:rFonts w:eastAsia="Arial" w:cs="Arial"/>
        </w:rPr>
        <w:t>,</w:t>
      </w:r>
      <w:r w:rsidRPr="001A611D">
        <w:rPr>
          <w:rFonts w:eastAsia="Arial" w:cs="Arial"/>
        </w:rPr>
        <w:t xml:space="preserve"> no hay una forma de coordinar </w:t>
      </w:r>
      <w:r>
        <w:rPr>
          <w:rFonts w:eastAsia="Arial" w:cs="Arial"/>
        </w:rPr>
        <w:t>las</w:t>
      </w:r>
      <w:r w:rsidRPr="001A611D">
        <w:rPr>
          <w:rFonts w:eastAsia="Arial" w:cs="Arial"/>
        </w:rPr>
        <w:t xml:space="preserve"> estrategias y acciones como parte del ciclo de las políticas públicas, que siempre hay una evaluación y por lo tanto un reajuste, una adaptación. </w:t>
      </w:r>
      <w:r>
        <w:rPr>
          <w:rFonts w:eastAsia="Arial" w:cs="Arial"/>
        </w:rPr>
        <w:t>Considera</w:t>
      </w:r>
      <w:r w:rsidRPr="001A611D">
        <w:rPr>
          <w:rFonts w:eastAsia="Arial" w:cs="Arial"/>
        </w:rPr>
        <w:t xml:space="preserve"> que tanto el marco teórico de la política pública general y la política anticorrupción</w:t>
      </w:r>
      <w:r>
        <w:rPr>
          <w:rFonts w:eastAsia="Arial" w:cs="Arial"/>
        </w:rPr>
        <w:t xml:space="preserve"> </w:t>
      </w:r>
      <w:r w:rsidRPr="001A611D">
        <w:rPr>
          <w:rFonts w:eastAsia="Arial" w:cs="Arial"/>
        </w:rPr>
        <w:t>permite el entendimiento de la corrupción como un problema infinito y</w:t>
      </w:r>
      <w:r>
        <w:rPr>
          <w:rFonts w:eastAsia="Arial" w:cs="Arial"/>
        </w:rPr>
        <w:t>,</w:t>
      </w:r>
      <w:r w:rsidRPr="001A611D">
        <w:rPr>
          <w:rFonts w:eastAsia="Arial" w:cs="Arial"/>
        </w:rPr>
        <w:t xml:space="preserve"> por tanto</w:t>
      </w:r>
      <w:r>
        <w:rPr>
          <w:rFonts w:eastAsia="Arial" w:cs="Arial"/>
        </w:rPr>
        <w:t>,</w:t>
      </w:r>
      <w:r w:rsidRPr="001A611D">
        <w:rPr>
          <w:rFonts w:eastAsia="Arial" w:cs="Arial"/>
        </w:rPr>
        <w:t xml:space="preserve"> la readaptación de las estrategias que sean necesarias. </w:t>
      </w:r>
    </w:p>
    <w:p w14:paraId="76A037B0" w14:textId="77777777" w:rsidR="00CD4FDF" w:rsidRDefault="00CD4FDF" w:rsidP="00CD4FDF">
      <w:pPr>
        <w:rPr>
          <w:rFonts w:eastAsia="Arial" w:cs="Arial"/>
        </w:rPr>
      </w:pPr>
    </w:p>
    <w:p w14:paraId="02292BDB" w14:textId="0B843047" w:rsidR="00CD4FDF" w:rsidRDefault="00CD4FDF" w:rsidP="00CD4FDF">
      <w:pPr>
        <w:rPr>
          <w:rFonts w:eastAsia="Arial" w:cs="Arial"/>
        </w:rPr>
      </w:pPr>
      <w:r>
        <w:rPr>
          <w:rFonts w:eastAsia="Arial" w:cs="Arial"/>
        </w:rPr>
        <w:t xml:space="preserve">La Secretaria Técnica procede a dar lectura a las observaciones remitidas por Gómez Álvarez Pérez: </w:t>
      </w:r>
    </w:p>
    <w:p w14:paraId="008431C0" w14:textId="54DA2B70" w:rsidR="00CD4FDF" w:rsidRDefault="00CD4FDF" w:rsidP="00CD4FDF">
      <w:pPr>
        <w:rPr>
          <w:rFonts w:eastAsia="Arial" w:cs="Arial"/>
        </w:rPr>
      </w:pPr>
      <w:r w:rsidRPr="00710044">
        <w:rPr>
          <w:rFonts w:eastAsia="Arial" w:cs="Arial"/>
        </w:rPr>
        <w:t>“Para empezar</w:t>
      </w:r>
      <w:r>
        <w:rPr>
          <w:rFonts w:eastAsia="Arial" w:cs="Arial"/>
        </w:rPr>
        <w:t>,</w:t>
      </w:r>
      <w:r w:rsidRPr="00710044">
        <w:rPr>
          <w:rFonts w:eastAsia="Arial" w:cs="Arial"/>
        </w:rPr>
        <w:t xml:space="preserve"> me gustaría reconocer el trabajo colaborativo que se ha hecho para presentar la </w:t>
      </w:r>
      <w:r>
        <w:rPr>
          <w:rFonts w:eastAsia="Arial" w:cs="Arial"/>
        </w:rPr>
        <w:t>P</w:t>
      </w:r>
      <w:r w:rsidRPr="00710044">
        <w:rPr>
          <w:rFonts w:eastAsia="Arial" w:cs="Arial"/>
        </w:rPr>
        <w:t xml:space="preserve">ropuesta de </w:t>
      </w:r>
      <w:r>
        <w:rPr>
          <w:rFonts w:eastAsia="Arial" w:cs="Arial"/>
        </w:rPr>
        <w:t>P</w:t>
      </w:r>
      <w:r w:rsidRPr="00710044">
        <w:rPr>
          <w:rFonts w:eastAsia="Arial" w:cs="Arial"/>
        </w:rPr>
        <w:t xml:space="preserve">olítica </w:t>
      </w:r>
      <w:r>
        <w:rPr>
          <w:rFonts w:eastAsia="Arial" w:cs="Arial"/>
        </w:rPr>
        <w:t>E</w:t>
      </w:r>
      <w:r w:rsidRPr="00710044">
        <w:rPr>
          <w:rFonts w:eastAsia="Arial" w:cs="Arial"/>
        </w:rPr>
        <w:t xml:space="preserve">statal </w:t>
      </w:r>
      <w:r>
        <w:rPr>
          <w:rFonts w:eastAsia="Arial" w:cs="Arial"/>
        </w:rPr>
        <w:t>A</w:t>
      </w:r>
      <w:r w:rsidRPr="00710044">
        <w:rPr>
          <w:rFonts w:eastAsia="Arial" w:cs="Arial"/>
        </w:rPr>
        <w:t>nticorrupción, la participación tanto de la ciudadanía como de los actores institucionales del SEAJAL se ven reflejados a lo largo de la propuesta</w:t>
      </w:r>
      <w:r>
        <w:rPr>
          <w:rFonts w:eastAsia="Arial" w:cs="Arial"/>
        </w:rPr>
        <w:t>. S</w:t>
      </w:r>
      <w:r w:rsidRPr="00710044">
        <w:rPr>
          <w:rFonts w:eastAsia="Arial" w:cs="Arial"/>
        </w:rPr>
        <w:t>irva el presente para dejar constancia de mis opiniones, en la medida de lo posible, hacer un trabajo m</w:t>
      </w:r>
      <w:r>
        <w:rPr>
          <w:rFonts w:eastAsia="Arial" w:cs="Arial"/>
        </w:rPr>
        <w:t>á</w:t>
      </w:r>
      <w:r w:rsidRPr="00710044">
        <w:rPr>
          <w:rFonts w:eastAsia="Arial" w:cs="Arial"/>
        </w:rPr>
        <w:t>s fino de articulación entre las temáticas que se desarrollan en el diagnóstico y las causas identificadas en el árbol de problemas para que exista correspondencia</w:t>
      </w:r>
      <w:r>
        <w:rPr>
          <w:rFonts w:eastAsia="Arial" w:cs="Arial"/>
        </w:rPr>
        <w:t>. E</w:t>
      </w:r>
      <w:r w:rsidRPr="00710044">
        <w:rPr>
          <w:rFonts w:eastAsia="Arial" w:cs="Arial"/>
        </w:rPr>
        <w:t>n algunos apartados del diagnóstico se presentan datos y evidencias de estudios internacionales que dan razón sobre una de las tantas aristas del fenómeno de la corrupción</w:t>
      </w:r>
      <w:r>
        <w:rPr>
          <w:rFonts w:eastAsia="Arial" w:cs="Arial"/>
        </w:rPr>
        <w:t>. E</w:t>
      </w:r>
      <w:r w:rsidRPr="00710044">
        <w:rPr>
          <w:rFonts w:eastAsia="Arial" w:cs="Arial"/>
        </w:rPr>
        <w:t>stamos cons</w:t>
      </w:r>
      <w:r>
        <w:rPr>
          <w:rFonts w:eastAsia="Arial" w:cs="Arial"/>
        </w:rPr>
        <w:t>c</w:t>
      </w:r>
      <w:r w:rsidRPr="00710044">
        <w:rPr>
          <w:rFonts w:eastAsia="Arial" w:cs="Arial"/>
        </w:rPr>
        <w:t>ientes que a nivel nacional mucha de esta información no se genera o se genera de manera inconsistentemente en el tiempo</w:t>
      </w:r>
      <w:r>
        <w:rPr>
          <w:rFonts w:eastAsia="Arial" w:cs="Arial"/>
        </w:rPr>
        <w:t>. S</w:t>
      </w:r>
      <w:r w:rsidRPr="00710044">
        <w:rPr>
          <w:rFonts w:eastAsia="Arial" w:cs="Arial"/>
        </w:rPr>
        <w:t>in embargo</w:t>
      </w:r>
      <w:r>
        <w:rPr>
          <w:rFonts w:eastAsia="Arial" w:cs="Arial"/>
        </w:rPr>
        <w:t>,</w:t>
      </w:r>
      <w:r w:rsidRPr="00710044">
        <w:rPr>
          <w:rFonts w:eastAsia="Arial" w:cs="Arial"/>
        </w:rPr>
        <w:t xml:space="preserve"> sería deseable utilizar datos y evidencia disponible para tener un diagnóstico m</w:t>
      </w:r>
      <w:r>
        <w:rPr>
          <w:rFonts w:eastAsia="Arial" w:cs="Arial"/>
        </w:rPr>
        <w:t>á</w:t>
      </w:r>
      <w:r w:rsidRPr="00710044">
        <w:rPr>
          <w:rFonts w:eastAsia="Arial" w:cs="Arial"/>
        </w:rPr>
        <w:t>s acotado del caso Jalisco. A lo largo del texto se identificó la duplicidad de datos bi</w:t>
      </w:r>
      <w:r>
        <w:rPr>
          <w:rFonts w:eastAsia="Arial" w:cs="Arial"/>
        </w:rPr>
        <w:t>bli</w:t>
      </w:r>
      <w:r w:rsidRPr="00710044">
        <w:rPr>
          <w:rFonts w:eastAsia="Arial" w:cs="Arial"/>
        </w:rPr>
        <w:t>ográfic</w:t>
      </w:r>
      <w:r>
        <w:rPr>
          <w:rFonts w:eastAsia="Arial" w:cs="Arial"/>
        </w:rPr>
        <w:t>o</w:t>
      </w:r>
      <w:r w:rsidRPr="00710044">
        <w:rPr>
          <w:rFonts w:eastAsia="Arial" w:cs="Arial"/>
        </w:rPr>
        <w:t xml:space="preserve">s, por </w:t>
      </w:r>
      <w:r w:rsidR="007220A8" w:rsidRPr="00710044">
        <w:rPr>
          <w:rFonts w:eastAsia="Arial" w:cs="Arial"/>
        </w:rPr>
        <w:t>tanto,</w:t>
      </w:r>
      <w:r w:rsidRPr="00710044">
        <w:rPr>
          <w:rFonts w:eastAsia="Arial" w:cs="Arial"/>
        </w:rPr>
        <w:t xml:space="preserve"> se recomienda que en estos casos se revise en qué apartado tiene mayor capacidad explicativa, o se matice la forma en que se presenta la información para que no sea repetida</w:t>
      </w:r>
      <w:r>
        <w:rPr>
          <w:rFonts w:eastAsia="Arial" w:cs="Arial"/>
        </w:rPr>
        <w:t>. C</w:t>
      </w:r>
      <w:r w:rsidRPr="00710044">
        <w:rPr>
          <w:rFonts w:eastAsia="Arial" w:cs="Arial"/>
        </w:rPr>
        <w:t>on relación a cuestiones de forma, algunos pies de página son extensos</w:t>
      </w:r>
      <w:r>
        <w:rPr>
          <w:rFonts w:eastAsia="Arial" w:cs="Arial"/>
        </w:rPr>
        <w:t>;</w:t>
      </w:r>
      <w:r w:rsidRPr="00710044">
        <w:rPr>
          <w:rFonts w:eastAsia="Arial" w:cs="Arial"/>
        </w:rPr>
        <w:t xml:space="preserve"> se invita a revisar esos casos valorar la posibilidad de mantener solo aquella información fundamental o incorporar el texto principal de ser muy relevante</w:t>
      </w:r>
      <w:r>
        <w:rPr>
          <w:rFonts w:eastAsia="Arial" w:cs="Arial"/>
        </w:rPr>
        <w:t>. S</w:t>
      </w:r>
      <w:r w:rsidRPr="00710044">
        <w:rPr>
          <w:rFonts w:eastAsia="Arial" w:cs="Arial"/>
        </w:rPr>
        <w:t>e recomienda revisar la uniformidad del color de texto, esto dado que en algunos párrafos se nota la diferencia entre negro y gris obscuro</w:t>
      </w:r>
      <w:r>
        <w:rPr>
          <w:rFonts w:eastAsia="Arial" w:cs="Arial"/>
        </w:rPr>
        <w:t>. D</w:t>
      </w:r>
      <w:r w:rsidRPr="00710044">
        <w:rPr>
          <w:rFonts w:eastAsia="Arial" w:cs="Arial"/>
        </w:rPr>
        <w:t>e igual manera se recomienda que las tablas, gráficas, siempre vayan juntos en una misma página y no se deje uno o el otro en diferente página</w:t>
      </w:r>
      <w:r>
        <w:rPr>
          <w:rFonts w:eastAsia="Arial" w:cs="Arial"/>
        </w:rPr>
        <w:t>.</w:t>
      </w:r>
      <w:r w:rsidRPr="00710044">
        <w:rPr>
          <w:rFonts w:eastAsia="Arial" w:cs="Arial"/>
        </w:rPr>
        <w:t xml:space="preserve"> </w:t>
      </w:r>
      <w:r>
        <w:rPr>
          <w:rFonts w:eastAsia="Arial" w:cs="Arial"/>
        </w:rPr>
        <w:t>D</w:t>
      </w:r>
      <w:r w:rsidRPr="00710044">
        <w:rPr>
          <w:rFonts w:eastAsia="Arial" w:cs="Arial"/>
        </w:rPr>
        <w:t>icho lo anterior, espero que puedan revisar lo que he señalado, antes de que se pase al Comité Coordinador para su revisión y en su caso aprobación</w:t>
      </w:r>
      <w:r>
        <w:rPr>
          <w:rFonts w:eastAsia="Arial" w:cs="Arial"/>
        </w:rPr>
        <w:t>. P</w:t>
      </w:r>
      <w:r w:rsidRPr="00710044">
        <w:rPr>
          <w:rFonts w:eastAsia="Arial" w:cs="Arial"/>
        </w:rPr>
        <w:t>or lo anterior</w:t>
      </w:r>
      <w:r>
        <w:rPr>
          <w:rFonts w:eastAsia="Arial" w:cs="Arial"/>
        </w:rPr>
        <w:t xml:space="preserve">, </w:t>
      </w:r>
      <w:r w:rsidRPr="00710044">
        <w:rPr>
          <w:rFonts w:eastAsia="Arial" w:cs="Arial"/>
        </w:rPr>
        <w:t>mi voto es a favor de la aprobación de la Propuesta de Política Estatal Anticorrupción</w:t>
      </w:r>
      <w:r>
        <w:rPr>
          <w:rFonts w:eastAsia="Arial" w:cs="Arial"/>
        </w:rPr>
        <w:t>”.</w:t>
      </w:r>
    </w:p>
    <w:p w14:paraId="1FFE9180" w14:textId="77777777" w:rsidR="00CD4FDF" w:rsidRDefault="00CD4FDF" w:rsidP="00CD4FDF">
      <w:pPr>
        <w:rPr>
          <w:rFonts w:eastAsia="Arial" w:cs="Arial"/>
        </w:rPr>
      </w:pPr>
    </w:p>
    <w:p w14:paraId="6A754746" w14:textId="0420ACF3" w:rsidR="00CD4FDF" w:rsidRDefault="00CD4FDF" w:rsidP="00CD4FDF">
      <w:pPr>
        <w:rPr>
          <w:rFonts w:eastAsia="Arial" w:cs="Arial"/>
        </w:rPr>
      </w:pPr>
      <w:r>
        <w:rPr>
          <w:rFonts w:eastAsia="Arial" w:cs="Arial"/>
        </w:rPr>
        <w:t xml:space="preserve">La Secretaria Técnica recapitula, una vez señalados los comentarios, que </w:t>
      </w:r>
      <w:r w:rsidRPr="003547F3">
        <w:rPr>
          <w:rFonts w:eastAsia="Arial" w:cs="Arial"/>
        </w:rPr>
        <w:t xml:space="preserve">lo que </w:t>
      </w:r>
      <w:r>
        <w:rPr>
          <w:rFonts w:eastAsia="Arial" w:cs="Arial"/>
        </w:rPr>
        <w:t>se sometería</w:t>
      </w:r>
      <w:r w:rsidRPr="003547F3">
        <w:rPr>
          <w:rFonts w:eastAsia="Arial" w:cs="Arial"/>
        </w:rPr>
        <w:t xml:space="preserve"> a </w:t>
      </w:r>
      <w:r>
        <w:rPr>
          <w:rFonts w:eastAsia="Arial" w:cs="Arial"/>
        </w:rPr>
        <w:t>votación</w:t>
      </w:r>
      <w:r w:rsidRPr="003547F3">
        <w:rPr>
          <w:rFonts w:eastAsia="Arial" w:cs="Arial"/>
        </w:rPr>
        <w:t xml:space="preserve"> en este momento es una </w:t>
      </w:r>
      <w:r>
        <w:rPr>
          <w:rFonts w:eastAsia="Arial" w:cs="Arial"/>
        </w:rPr>
        <w:t>a</w:t>
      </w:r>
      <w:r w:rsidRPr="003547F3">
        <w:rPr>
          <w:rFonts w:eastAsia="Arial" w:cs="Arial"/>
        </w:rPr>
        <w:t>probación en lo general del documento, con la instrucción de tener una reunión técnica con quienes integran el Comité Coordinador y quienes integra</w:t>
      </w:r>
      <w:r>
        <w:rPr>
          <w:rFonts w:eastAsia="Arial" w:cs="Arial"/>
        </w:rPr>
        <w:t>n</w:t>
      </w:r>
      <w:r w:rsidRPr="003547F3">
        <w:rPr>
          <w:rFonts w:eastAsia="Arial" w:cs="Arial"/>
        </w:rPr>
        <w:t xml:space="preserve"> la Comisión Ejecutiva</w:t>
      </w:r>
      <w:r>
        <w:rPr>
          <w:rFonts w:eastAsia="Arial" w:cs="Arial"/>
        </w:rPr>
        <w:t>,</w:t>
      </w:r>
      <w:r w:rsidRPr="003547F3">
        <w:rPr>
          <w:rFonts w:eastAsia="Arial" w:cs="Arial"/>
        </w:rPr>
        <w:t xml:space="preserve"> incluidos los </w:t>
      </w:r>
      <w:r>
        <w:rPr>
          <w:rFonts w:eastAsia="Arial" w:cs="Arial"/>
        </w:rPr>
        <w:t>E</w:t>
      </w:r>
      <w:r w:rsidRPr="003547F3">
        <w:rPr>
          <w:rFonts w:eastAsia="Arial" w:cs="Arial"/>
        </w:rPr>
        <w:t>nlaces, para poder deliberar específicamente</w:t>
      </w:r>
      <w:r>
        <w:rPr>
          <w:rFonts w:eastAsia="Arial" w:cs="Arial"/>
        </w:rPr>
        <w:t xml:space="preserve"> </w:t>
      </w:r>
      <w:r w:rsidRPr="003547F3">
        <w:rPr>
          <w:rFonts w:eastAsia="Arial" w:cs="Arial"/>
        </w:rPr>
        <w:t>los apartados de la implementación y de las acciones</w:t>
      </w:r>
      <w:r>
        <w:rPr>
          <w:rFonts w:eastAsia="Arial" w:cs="Arial"/>
        </w:rPr>
        <w:t xml:space="preserve"> </w:t>
      </w:r>
      <w:r w:rsidRPr="003547F3">
        <w:rPr>
          <w:rFonts w:eastAsia="Arial" w:cs="Arial"/>
        </w:rPr>
        <w:t>que trabaja</w:t>
      </w:r>
      <w:r>
        <w:rPr>
          <w:rFonts w:eastAsia="Arial" w:cs="Arial"/>
        </w:rPr>
        <w:t>ron</w:t>
      </w:r>
      <w:r w:rsidRPr="003547F3">
        <w:rPr>
          <w:rFonts w:eastAsia="Arial" w:cs="Arial"/>
        </w:rPr>
        <w:t xml:space="preserve"> en el </w:t>
      </w:r>
      <w:r>
        <w:rPr>
          <w:rFonts w:eastAsia="Arial" w:cs="Arial"/>
        </w:rPr>
        <w:t>T</w:t>
      </w:r>
      <w:r w:rsidRPr="003547F3">
        <w:rPr>
          <w:rFonts w:eastAsia="Arial" w:cs="Arial"/>
        </w:rPr>
        <w:t xml:space="preserve">aller de </w:t>
      </w:r>
      <w:r>
        <w:rPr>
          <w:rFonts w:eastAsia="Arial" w:cs="Arial"/>
        </w:rPr>
        <w:t>I</w:t>
      </w:r>
      <w:r w:rsidRPr="003547F3">
        <w:rPr>
          <w:rFonts w:eastAsia="Arial" w:cs="Arial"/>
        </w:rPr>
        <w:t xml:space="preserve">nteligencia </w:t>
      </w:r>
      <w:r>
        <w:rPr>
          <w:rFonts w:eastAsia="Arial" w:cs="Arial"/>
        </w:rPr>
        <w:t>C</w:t>
      </w:r>
      <w:r w:rsidRPr="003547F3">
        <w:rPr>
          <w:rFonts w:eastAsia="Arial" w:cs="Arial"/>
        </w:rPr>
        <w:t xml:space="preserve">olectiva con las estrategias y modelo de implementación. </w:t>
      </w:r>
    </w:p>
    <w:p w14:paraId="7497AAC2" w14:textId="77777777" w:rsidR="00CD4FDF" w:rsidRDefault="00CD4FDF" w:rsidP="00CD4FDF">
      <w:pPr>
        <w:rPr>
          <w:rFonts w:eastAsia="Arial" w:cs="Arial"/>
        </w:rPr>
      </w:pPr>
    </w:p>
    <w:p w14:paraId="303C45EE" w14:textId="797ED56D" w:rsidR="00CD4FDF" w:rsidRDefault="00CD4FDF" w:rsidP="00CD4FDF">
      <w:pPr>
        <w:rPr>
          <w:rFonts w:eastAsia="Arial" w:cs="Arial"/>
        </w:rPr>
      </w:pPr>
      <w:r>
        <w:rPr>
          <w:rFonts w:eastAsia="Arial" w:cs="Arial"/>
        </w:rPr>
        <w:t>García Vázquez responde que sí, y añade que la participación de los Enlaces sería si es que los titulares lo deciden, con el objetivo de</w:t>
      </w:r>
      <w:r w:rsidRPr="00FF05BA">
        <w:rPr>
          <w:rFonts w:eastAsia="Arial" w:cs="Arial"/>
        </w:rPr>
        <w:t xml:space="preserve"> no tener mensajes dobles</w:t>
      </w:r>
      <w:r>
        <w:rPr>
          <w:rFonts w:eastAsia="Arial" w:cs="Arial"/>
        </w:rPr>
        <w:t xml:space="preserve">. </w:t>
      </w:r>
    </w:p>
    <w:p w14:paraId="11CEA7AB" w14:textId="77777777" w:rsidR="00CD4FDF" w:rsidRDefault="00CD4FDF" w:rsidP="00CD4FDF">
      <w:pPr>
        <w:rPr>
          <w:rFonts w:eastAsia="Arial" w:cs="Arial"/>
        </w:rPr>
      </w:pPr>
    </w:p>
    <w:p w14:paraId="13538BB6" w14:textId="40030258" w:rsidR="00CD4FDF" w:rsidRDefault="00CD4FDF" w:rsidP="00CD4FDF">
      <w:pPr>
        <w:rPr>
          <w:rFonts w:eastAsia="Arial" w:cs="Arial"/>
        </w:rPr>
      </w:pPr>
      <w:r>
        <w:rPr>
          <w:rFonts w:eastAsia="Arial" w:cs="Arial"/>
        </w:rPr>
        <w:t xml:space="preserve">La Secretaria Técnica somete, en los términos anteriormente mencionados, a aprobación en lo </w:t>
      </w:r>
      <w:r w:rsidRPr="00455DB2">
        <w:rPr>
          <w:rFonts w:eastAsia="Arial" w:cs="Arial"/>
        </w:rPr>
        <w:t>general</w:t>
      </w:r>
      <w:r>
        <w:rPr>
          <w:rFonts w:eastAsia="Arial" w:cs="Arial"/>
        </w:rPr>
        <w:t xml:space="preserve"> de la Política Estatal Anticorrupción de Jalisco, con la propuesta de realizar</w:t>
      </w:r>
      <w:r w:rsidRPr="00455DB2">
        <w:rPr>
          <w:rFonts w:eastAsia="Arial" w:cs="Arial"/>
        </w:rPr>
        <w:t xml:space="preserve"> </w:t>
      </w:r>
      <w:r>
        <w:rPr>
          <w:rFonts w:eastAsia="Arial" w:cs="Arial"/>
        </w:rPr>
        <w:t>una</w:t>
      </w:r>
      <w:r w:rsidRPr="00455DB2">
        <w:rPr>
          <w:rFonts w:eastAsia="Arial" w:cs="Arial"/>
        </w:rPr>
        <w:t xml:space="preserve"> reunión técnica de trabajo </w:t>
      </w:r>
      <w:r>
        <w:rPr>
          <w:rFonts w:eastAsia="Arial" w:cs="Arial"/>
        </w:rPr>
        <w:t>con</w:t>
      </w:r>
      <w:r w:rsidRPr="00455DB2">
        <w:rPr>
          <w:rFonts w:eastAsia="Arial" w:cs="Arial"/>
        </w:rPr>
        <w:t xml:space="preserve"> quienes integra</w:t>
      </w:r>
      <w:r>
        <w:rPr>
          <w:rFonts w:eastAsia="Arial" w:cs="Arial"/>
        </w:rPr>
        <w:t>n</w:t>
      </w:r>
      <w:r w:rsidRPr="00455DB2">
        <w:rPr>
          <w:rFonts w:eastAsia="Arial" w:cs="Arial"/>
        </w:rPr>
        <w:t xml:space="preserve"> la Comisión Ejecutiva y el Comité Coordinador para</w:t>
      </w:r>
      <w:r>
        <w:rPr>
          <w:rFonts w:eastAsia="Arial" w:cs="Arial"/>
        </w:rPr>
        <w:t>,</w:t>
      </w:r>
      <w:r w:rsidRPr="00455DB2">
        <w:rPr>
          <w:rFonts w:eastAsia="Arial" w:cs="Arial"/>
        </w:rPr>
        <w:t xml:space="preserve"> en su caso</w:t>
      </w:r>
      <w:r>
        <w:rPr>
          <w:rFonts w:eastAsia="Arial" w:cs="Arial"/>
        </w:rPr>
        <w:t>,</w:t>
      </w:r>
      <w:r w:rsidRPr="00455DB2">
        <w:rPr>
          <w:rFonts w:eastAsia="Arial" w:cs="Arial"/>
        </w:rPr>
        <w:t xml:space="preserve"> realizar las adecuaciones correspondientes. </w:t>
      </w:r>
    </w:p>
    <w:p w14:paraId="4E7DBEC9" w14:textId="77777777" w:rsidR="00CD4FDF" w:rsidRDefault="00CD4FDF" w:rsidP="00CD4FDF">
      <w:pPr>
        <w:rPr>
          <w:rFonts w:eastAsia="Arial" w:cs="Arial"/>
        </w:rPr>
      </w:pPr>
    </w:p>
    <w:p w14:paraId="07238D34" w14:textId="77777777" w:rsidR="00CD4FDF" w:rsidRDefault="00CD4FDF" w:rsidP="00CD4FDF">
      <w:pPr>
        <w:rPr>
          <w:rFonts w:eastAsia="Arial" w:cs="Arial"/>
        </w:rPr>
      </w:pPr>
      <w:r>
        <w:rPr>
          <w:rFonts w:eastAsia="Arial" w:cs="Arial"/>
        </w:rPr>
        <w:t xml:space="preserve">Agradece en nombre de la SESAJ el apoyo en la elaboración del documento en mención y procede a tomar la votación. Con la votación expresa de quienes integran la Comisión Ejecutiva, presentes de manera virtual, es aprobada. </w:t>
      </w:r>
    </w:p>
    <w:p w14:paraId="6CB4415A" w14:textId="77777777" w:rsidR="00E037E0" w:rsidRPr="00024594" w:rsidRDefault="00E037E0" w:rsidP="00D6293B">
      <w:pPr>
        <w:tabs>
          <w:tab w:val="left" w:pos="2610"/>
        </w:tabs>
        <w:rPr>
          <w:rFonts w:eastAsia="Arial" w:cs="Arial"/>
          <w:szCs w:val="22"/>
          <w:lang w:val="es-ES"/>
        </w:rPr>
      </w:pPr>
    </w:p>
    <w:p w14:paraId="1F3A6F72" w14:textId="77777777" w:rsidR="00762614" w:rsidRPr="00762614" w:rsidRDefault="00762614" w:rsidP="00EC6B98">
      <w:pPr>
        <w:pStyle w:val="Prrafodelista"/>
        <w:numPr>
          <w:ilvl w:val="0"/>
          <w:numId w:val="1"/>
        </w:numPr>
        <w:jc w:val="both"/>
        <w:rPr>
          <w:rFonts w:eastAsia="Arial" w:cs="Arial"/>
          <w:b/>
          <w:bCs/>
          <w:color w:val="006078"/>
          <w:szCs w:val="22"/>
        </w:rPr>
      </w:pPr>
      <w:r w:rsidRPr="00762614">
        <w:rPr>
          <w:rFonts w:eastAsia="Arial" w:cs="Arial"/>
          <w:b/>
          <w:bCs/>
          <w:color w:val="006078"/>
          <w:szCs w:val="22"/>
        </w:rPr>
        <w:t>Presentación y, en su caso, aprobación de la Metodología para identificar los riesgos de faltas administrativas y hechos de corrupción en los procesos de adquisiciones de los entes públicos y proponer un plan para su mitigación, con base en las observaciones emitidas por la Auditoría Superior del Estado de Jalisco, la Contraloría del Estado y el Instituto de Transparencia, Información Pública y Protección de Datos Personales del Estado</w:t>
      </w:r>
    </w:p>
    <w:p w14:paraId="61536CA6" w14:textId="01F541D7" w:rsidR="00762614" w:rsidRDefault="00762614" w:rsidP="009B1C14">
      <w:pPr>
        <w:tabs>
          <w:tab w:val="left" w:pos="2610"/>
        </w:tabs>
        <w:rPr>
          <w:rFonts w:eastAsia="Arial" w:cs="Arial"/>
          <w:b/>
          <w:bCs/>
          <w:color w:val="006078"/>
          <w:szCs w:val="22"/>
        </w:rPr>
      </w:pPr>
    </w:p>
    <w:p w14:paraId="2C46385E" w14:textId="38422C00" w:rsidR="006831FE" w:rsidRDefault="006831FE" w:rsidP="006831FE">
      <w:pPr>
        <w:pBdr>
          <w:top w:val="nil"/>
          <w:left w:val="nil"/>
          <w:bottom w:val="nil"/>
          <w:right w:val="nil"/>
          <w:between w:val="nil"/>
        </w:pBdr>
        <w:rPr>
          <w:rFonts w:eastAsia="Arial" w:cs="Arial"/>
          <w:color w:val="000000"/>
        </w:rPr>
      </w:pPr>
      <w:r w:rsidRPr="0023489B">
        <w:rPr>
          <w:rFonts w:eastAsia="Arial" w:cs="Arial"/>
          <w:color w:val="000000"/>
        </w:rPr>
        <w:t xml:space="preserve">La Secretaria Técnica </w:t>
      </w:r>
      <w:r>
        <w:rPr>
          <w:rFonts w:eastAsia="Arial" w:cs="Arial"/>
          <w:color w:val="000000"/>
        </w:rPr>
        <w:t>resalta que se les hizo llegar con anterioridad; explica que la propuesta se plantea con base en</w:t>
      </w:r>
      <w:r w:rsidRPr="009068E8">
        <w:rPr>
          <w:rFonts w:eastAsia="Arial" w:cs="Arial"/>
          <w:color w:val="000000"/>
        </w:rPr>
        <w:t xml:space="preserve"> un estudio de caso sobre adquisiciones de consumibles para la salud en el ejercicio de 2018</w:t>
      </w:r>
      <w:r>
        <w:rPr>
          <w:rFonts w:eastAsia="Arial" w:cs="Arial"/>
          <w:color w:val="000000"/>
        </w:rPr>
        <w:t>. Las</w:t>
      </w:r>
      <w:r w:rsidRPr="009068E8">
        <w:rPr>
          <w:rFonts w:eastAsia="Arial" w:cs="Arial"/>
          <w:color w:val="000000"/>
        </w:rPr>
        <w:t xml:space="preserve"> observaciones que correspondan a procedimientos de adquisiciones de consumibles para la salud en 2018 nacen porque son</w:t>
      </w:r>
      <w:r>
        <w:rPr>
          <w:rFonts w:eastAsia="Arial" w:cs="Arial"/>
          <w:color w:val="000000"/>
        </w:rPr>
        <w:t xml:space="preserve"> </w:t>
      </w:r>
      <w:r w:rsidRPr="009068E8">
        <w:rPr>
          <w:rFonts w:eastAsia="Arial" w:cs="Arial"/>
          <w:color w:val="000000"/>
        </w:rPr>
        <w:t xml:space="preserve">140 entes públicos auditados por la Auditoría; también por </w:t>
      </w:r>
      <w:r>
        <w:rPr>
          <w:rFonts w:eastAsia="Arial" w:cs="Arial"/>
          <w:color w:val="000000"/>
        </w:rPr>
        <w:t>dichas</w:t>
      </w:r>
      <w:r w:rsidRPr="009068E8">
        <w:rPr>
          <w:rFonts w:eastAsia="Arial" w:cs="Arial"/>
          <w:color w:val="000000"/>
        </w:rPr>
        <w:t xml:space="preserve"> observaciones ordinarias, relevantes y aquellas que fueron sancionadas con o sin procedimiento administrativo por las adquisiciones de </w:t>
      </w:r>
      <w:r>
        <w:rPr>
          <w:rFonts w:eastAsia="Arial" w:cs="Arial"/>
          <w:color w:val="000000"/>
        </w:rPr>
        <w:t xml:space="preserve">los </w:t>
      </w:r>
      <w:r w:rsidRPr="009068E8">
        <w:rPr>
          <w:rFonts w:eastAsia="Arial" w:cs="Arial"/>
          <w:color w:val="000000"/>
        </w:rPr>
        <w:t>consumibles</w:t>
      </w:r>
      <w:r>
        <w:rPr>
          <w:rFonts w:eastAsia="Arial" w:cs="Arial"/>
          <w:color w:val="000000"/>
        </w:rPr>
        <w:t xml:space="preserve">. </w:t>
      </w:r>
    </w:p>
    <w:p w14:paraId="5D9ED563" w14:textId="77777777" w:rsidR="006831FE" w:rsidRDefault="006831FE" w:rsidP="006831FE">
      <w:pPr>
        <w:pBdr>
          <w:top w:val="nil"/>
          <w:left w:val="nil"/>
          <w:bottom w:val="nil"/>
          <w:right w:val="nil"/>
          <w:between w:val="nil"/>
        </w:pBdr>
        <w:rPr>
          <w:rFonts w:eastAsia="Arial" w:cs="Arial"/>
          <w:color w:val="000000"/>
        </w:rPr>
      </w:pPr>
    </w:p>
    <w:p w14:paraId="1CED2AD8" w14:textId="77777777" w:rsidR="006831FE" w:rsidRDefault="006831FE" w:rsidP="006831FE">
      <w:pPr>
        <w:pBdr>
          <w:top w:val="nil"/>
          <w:left w:val="nil"/>
          <w:bottom w:val="nil"/>
          <w:right w:val="nil"/>
          <w:between w:val="nil"/>
        </w:pBdr>
        <w:rPr>
          <w:rFonts w:eastAsia="Arial" w:cs="Arial"/>
          <w:color w:val="000000"/>
        </w:rPr>
      </w:pPr>
      <w:r>
        <w:rPr>
          <w:rFonts w:eastAsia="Arial" w:cs="Arial"/>
          <w:color w:val="000000"/>
        </w:rPr>
        <w:t xml:space="preserve">Menciona que </w:t>
      </w:r>
      <w:r w:rsidRPr="009068E8">
        <w:rPr>
          <w:rFonts w:eastAsia="Arial" w:cs="Arial"/>
          <w:color w:val="000000"/>
        </w:rPr>
        <w:t xml:space="preserve">hay 295 auditorías internas y externas registradas en el periodo por la Contraloría del Estado en el </w:t>
      </w:r>
      <w:r>
        <w:rPr>
          <w:rFonts w:eastAsia="Arial" w:cs="Arial"/>
          <w:color w:val="000000"/>
        </w:rPr>
        <w:t>S</w:t>
      </w:r>
      <w:r w:rsidRPr="009068E8">
        <w:rPr>
          <w:rFonts w:eastAsia="Arial" w:cs="Arial"/>
          <w:color w:val="000000"/>
        </w:rPr>
        <w:t>istema de Transparencia Fiscal</w:t>
      </w:r>
      <w:r>
        <w:rPr>
          <w:rFonts w:eastAsia="Arial" w:cs="Arial"/>
          <w:color w:val="000000"/>
        </w:rPr>
        <w:t>,</w:t>
      </w:r>
      <w:r w:rsidRPr="009068E8">
        <w:rPr>
          <w:rFonts w:eastAsia="Arial" w:cs="Arial"/>
          <w:color w:val="000000"/>
        </w:rPr>
        <w:t xml:space="preserve"> </w:t>
      </w:r>
      <w:r>
        <w:rPr>
          <w:rFonts w:eastAsia="Arial" w:cs="Arial"/>
          <w:color w:val="000000"/>
        </w:rPr>
        <w:t>y respecto</w:t>
      </w:r>
      <w:r w:rsidRPr="00E951EF">
        <w:rPr>
          <w:rFonts w:eastAsia="Arial" w:cs="Arial"/>
          <w:color w:val="000000"/>
        </w:rPr>
        <w:t xml:space="preserve"> </w:t>
      </w:r>
      <w:r w:rsidRPr="009068E8">
        <w:rPr>
          <w:rFonts w:eastAsia="Arial" w:cs="Arial"/>
          <w:color w:val="000000"/>
        </w:rPr>
        <w:t>al cumplimiento de la publicación de la Información Fundamental de esos procesos</w:t>
      </w:r>
      <w:r>
        <w:rPr>
          <w:rFonts w:eastAsia="Arial" w:cs="Arial"/>
          <w:color w:val="000000"/>
        </w:rPr>
        <w:t xml:space="preserve">, no se cuenta con el dato; sin embargo, se propone recurrir a las observaciones y recomendaciones emitidas por el ITEI. </w:t>
      </w:r>
    </w:p>
    <w:p w14:paraId="519158E4" w14:textId="316D2B8E" w:rsidR="006831FE" w:rsidRDefault="006831FE" w:rsidP="006831FE">
      <w:pPr>
        <w:pBdr>
          <w:top w:val="nil"/>
          <w:left w:val="nil"/>
          <w:bottom w:val="nil"/>
          <w:right w:val="nil"/>
          <w:between w:val="nil"/>
        </w:pBdr>
        <w:rPr>
          <w:rFonts w:eastAsia="Arial" w:cs="Arial"/>
          <w:color w:val="000000"/>
        </w:rPr>
      </w:pPr>
      <w:r>
        <w:rPr>
          <w:rFonts w:eastAsia="Arial" w:cs="Arial"/>
          <w:color w:val="000000"/>
        </w:rPr>
        <w:t>La Secretaria Técnica expone que</w:t>
      </w:r>
      <w:r w:rsidRPr="006D7C5F">
        <w:rPr>
          <w:rFonts w:eastAsia="Arial" w:cs="Arial"/>
          <w:color w:val="000000"/>
        </w:rPr>
        <w:t xml:space="preserve"> 2018</w:t>
      </w:r>
      <w:r>
        <w:rPr>
          <w:rFonts w:eastAsia="Arial" w:cs="Arial"/>
          <w:color w:val="000000"/>
        </w:rPr>
        <w:t xml:space="preserve"> </w:t>
      </w:r>
      <w:r w:rsidRPr="006D7C5F">
        <w:rPr>
          <w:rFonts w:eastAsia="Arial" w:cs="Arial"/>
          <w:color w:val="000000"/>
        </w:rPr>
        <w:t xml:space="preserve">se determinó </w:t>
      </w:r>
      <w:r>
        <w:rPr>
          <w:rFonts w:eastAsia="Arial" w:cs="Arial"/>
          <w:color w:val="000000"/>
        </w:rPr>
        <w:t>como</w:t>
      </w:r>
      <w:r w:rsidRPr="006D7C5F">
        <w:rPr>
          <w:rFonts w:eastAsia="Arial" w:cs="Arial"/>
          <w:color w:val="000000"/>
        </w:rPr>
        <w:t xml:space="preserve"> el año base, dado que es cuando inicia la nueva </w:t>
      </w:r>
      <w:r>
        <w:rPr>
          <w:rFonts w:eastAsia="Arial" w:cs="Arial"/>
          <w:color w:val="000000"/>
        </w:rPr>
        <w:t>L</w:t>
      </w:r>
      <w:r w:rsidRPr="006D7C5F">
        <w:rPr>
          <w:rFonts w:eastAsia="Arial" w:cs="Arial"/>
          <w:color w:val="000000"/>
        </w:rPr>
        <w:t xml:space="preserve">ey de Fiscalización y Rendición de Cuentas del Estado de Jalisco y son los datos </w:t>
      </w:r>
      <w:r>
        <w:rPr>
          <w:rFonts w:eastAsia="Arial" w:cs="Arial"/>
          <w:color w:val="000000"/>
        </w:rPr>
        <w:t xml:space="preserve">disponibles, </w:t>
      </w:r>
      <w:r w:rsidRPr="006D7C5F">
        <w:rPr>
          <w:rFonts w:eastAsia="Arial" w:cs="Arial"/>
          <w:color w:val="000000"/>
        </w:rPr>
        <w:t xml:space="preserve">es decir, son los procesos concluidos. Finalmente, </w:t>
      </w:r>
      <w:r>
        <w:rPr>
          <w:rFonts w:eastAsia="Arial" w:cs="Arial"/>
          <w:color w:val="000000"/>
        </w:rPr>
        <w:t xml:space="preserve">menciona que </w:t>
      </w:r>
      <w:r w:rsidRPr="006D7C5F">
        <w:rPr>
          <w:rFonts w:eastAsia="Arial" w:cs="Arial"/>
          <w:color w:val="000000"/>
        </w:rPr>
        <w:t>en la sesión donde se propuso por parte del Auditor Superior</w:t>
      </w:r>
      <w:r>
        <w:rPr>
          <w:rFonts w:eastAsia="Arial" w:cs="Arial"/>
          <w:color w:val="000000"/>
        </w:rPr>
        <w:t xml:space="preserve"> del Estado de Jalisco, se</w:t>
      </w:r>
      <w:r w:rsidRPr="006D7C5F">
        <w:rPr>
          <w:rFonts w:eastAsia="Arial" w:cs="Arial"/>
          <w:color w:val="000000"/>
        </w:rPr>
        <w:t xml:space="preserve"> señaló la temática de salud</w:t>
      </w:r>
      <w:r>
        <w:rPr>
          <w:rFonts w:eastAsia="Arial" w:cs="Arial"/>
          <w:color w:val="000000"/>
        </w:rPr>
        <w:t>,</w:t>
      </w:r>
      <w:r w:rsidRPr="006D7C5F">
        <w:rPr>
          <w:rFonts w:eastAsia="Arial" w:cs="Arial"/>
          <w:color w:val="000000"/>
        </w:rPr>
        <w:t xml:space="preserve"> y </w:t>
      </w:r>
      <w:r>
        <w:rPr>
          <w:rFonts w:eastAsia="Arial" w:cs="Arial"/>
          <w:color w:val="000000"/>
        </w:rPr>
        <w:t>considera que</w:t>
      </w:r>
      <w:r w:rsidRPr="006D7C5F">
        <w:rPr>
          <w:rFonts w:eastAsia="Arial" w:cs="Arial"/>
          <w:color w:val="000000"/>
        </w:rPr>
        <w:t xml:space="preserve"> cobra relevancia en este momento.</w:t>
      </w:r>
    </w:p>
    <w:p w14:paraId="442CB257" w14:textId="77777777" w:rsidR="006831FE" w:rsidRDefault="006831FE" w:rsidP="006831FE">
      <w:pPr>
        <w:pBdr>
          <w:top w:val="nil"/>
          <w:left w:val="nil"/>
          <w:bottom w:val="nil"/>
          <w:right w:val="nil"/>
          <w:between w:val="nil"/>
        </w:pBdr>
        <w:rPr>
          <w:rFonts w:eastAsia="Arial" w:cs="Arial"/>
          <w:color w:val="000000"/>
        </w:rPr>
      </w:pPr>
    </w:p>
    <w:p w14:paraId="500BF40D" w14:textId="01C27F96" w:rsidR="006831FE" w:rsidRDefault="006831FE" w:rsidP="006831FE">
      <w:pPr>
        <w:pBdr>
          <w:top w:val="nil"/>
          <w:left w:val="nil"/>
          <w:bottom w:val="nil"/>
          <w:right w:val="nil"/>
          <w:between w:val="nil"/>
        </w:pBdr>
        <w:rPr>
          <w:rFonts w:eastAsia="Arial" w:cs="Arial"/>
          <w:color w:val="000000"/>
        </w:rPr>
      </w:pPr>
      <w:r>
        <w:rPr>
          <w:rFonts w:eastAsia="Arial" w:cs="Arial"/>
          <w:color w:val="000000"/>
        </w:rPr>
        <w:t xml:space="preserve">La Secretaria Técnica destaca el objetivo del proyecto, que consiste en </w:t>
      </w:r>
      <w:r w:rsidRPr="00520D14">
        <w:rPr>
          <w:rFonts w:eastAsia="Arial" w:cs="Arial"/>
          <w:color w:val="000000"/>
        </w:rPr>
        <w:t xml:space="preserve">identificar los riesgos de faltas administrativas con </w:t>
      </w:r>
      <w:r>
        <w:rPr>
          <w:rFonts w:eastAsia="Arial" w:cs="Arial"/>
          <w:color w:val="000000"/>
        </w:rPr>
        <w:t xml:space="preserve">un </w:t>
      </w:r>
      <w:r w:rsidRPr="00520D14">
        <w:rPr>
          <w:rFonts w:eastAsia="Arial" w:cs="Arial"/>
          <w:color w:val="000000"/>
        </w:rPr>
        <w:t xml:space="preserve">estudio de caso, </w:t>
      </w:r>
      <w:r>
        <w:rPr>
          <w:rFonts w:eastAsia="Arial" w:cs="Arial"/>
          <w:color w:val="000000"/>
        </w:rPr>
        <w:t xml:space="preserve">y los </w:t>
      </w:r>
      <w:r w:rsidRPr="00520D14">
        <w:rPr>
          <w:rFonts w:eastAsia="Arial" w:cs="Arial"/>
          <w:color w:val="000000"/>
        </w:rPr>
        <w:t xml:space="preserve">objetivos específicos </w:t>
      </w:r>
      <w:r>
        <w:rPr>
          <w:rFonts w:eastAsia="Arial" w:cs="Arial"/>
          <w:color w:val="000000"/>
        </w:rPr>
        <w:t>son</w:t>
      </w:r>
      <w:r w:rsidRPr="00520D14">
        <w:rPr>
          <w:rFonts w:eastAsia="Arial" w:cs="Arial"/>
          <w:color w:val="000000"/>
        </w:rPr>
        <w:t xml:space="preserve"> </w:t>
      </w:r>
      <w:r>
        <w:rPr>
          <w:rFonts w:eastAsia="Arial" w:cs="Arial"/>
          <w:color w:val="000000"/>
        </w:rPr>
        <w:t>tres</w:t>
      </w:r>
      <w:r w:rsidRPr="00520D14">
        <w:rPr>
          <w:rFonts w:eastAsia="Arial" w:cs="Arial"/>
          <w:color w:val="000000"/>
        </w:rPr>
        <w:t>, conforme al plan de trabajo que se aprobó</w:t>
      </w:r>
      <w:r>
        <w:rPr>
          <w:rFonts w:eastAsia="Arial" w:cs="Arial"/>
          <w:color w:val="000000"/>
        </w:rPr>
        <w:t>:</w:t>
      </w:r>
      <w:r w:rsidRPr="00520D14">
        <w:rPr>
          <w:rFonts w:eastAsia="Arial" w:cs="Arial"/>
          <w:color w:val="000000"/>
        </w:rPr>
        <w:t xml:space="preserve"> </w:t>
      </w:r>
    </w:p>
    <w:p w14:paraId="1DA55803" w14:textId="77777777" w:rsidR="006831FE" w:rsidRDefault="006831FE" w:rsidP="006831FE">
      <w:pPr>
        <w:pBdr>
          <w:top w:val="nil"/>
          <w:left w:val="nil"/>
          <w:bottom w:val="nil"/>
          <w:right w:val="nil"/>
          <w:between w:val="nil"/>
        </w:pBdr>
        <w:rPr>
          <w:rFonts w:eastAsia="Arial" w:cs="Arial"/>
          <w:color w:val="000000"/>
        </w:rPr>
      </w:pPr>
    </w:p>
    <w:p w14:paraId="759E6CAA" w14:textId="77777777" w:rsidR="006831FE" w:rsidRPr="00735BE0" w:rsidRDefault="006831FE" w:rsidP="00EC6B98">
      <w:pPr>
        <w:pStyle w:val="Prrafodelista"/>
        <w:numPr>
          <w:ilvl w:val="0"/>
          <w:numId w:val="12"/>
        </w:numPr>
        <w:pBdr>
          <w:top w:val="nil"/>
          <w:left w:val="nil"/>
          <w:bottom w:val="nil"/>
          <w:right w:val="nil"/>
          <w:between w:val="nil"/>
        </w:pBdr>
        <w:jc w:val="both"/>
        <w:rPr>
          <w:rFonts w:eastAsia="Arial" w:cs="Arial"/>
          <w:color w:val="000000"/>
          <w:szCs w:val="22"/>
        </w:rPr>
      </w:pPr>
      <w:r w:rsidRPr="00735BE0">
        <w:rPr>
          <w:rFonts w:eastAsia="Arial" w:cs="Arial"/>
          <w:color w:val="000000"/>
          <w:szCs w:val="22"/>
        </w:rPr>
        <w:t xml:space="preserve">Elaborar un mapa del proceso de adquisiciones públicas específicamente de estos consumibles; </w:t>
      </w:r>
    </w:p>
    <w:p w14:paraId="59BB9CB5" w14:textId="77777777" w:rsidR="006831FE" w:rsidRPr="00735BE0" w:rsidRDefault="006831FE" w:rsidP="00EC6B98">
      <w:pPr>
        <w:pStyle w:val="Prrafodelista"/>
        <w:numPr>
          <w:ilvl w:val="0"/>
          <w:numId w:val="12"/>
        </w:numPr>
        <w:pBdr>
          <w:top w:val="nil"/>
          <w:left w:val="nil"/>
          <w:bottom w:val="nil"/>
          <w:right w:val="nil"/>
          <w:between w:val="nil"/>
        </w:pBdr>
        <w:jc w:val="both"/>
        <w:rPr>
          <w:rFonts w:eastAsia="Arial" w:cs="Arial"/>
          <w:color w:val="000000"/>
          <w:szCs w:val="22"/>
        </w:rPr>
      </w:pPr>
      <w:r w:rsidRPr="00735BE0">
        <w:rPr>
          <w:rFonts w:eastAsia="Arial" w:cs="Arial"/>
          <w:color w:val="000000"/>
          <w:szCs w:val="22"/>
        </w:rPr>
        <w:t xml:space="preserve">Analizar las observaciones por los procesos de adquisiciones, identificar la recurrencia y etapa o momento del proceso en donde se está presentado esa incidencia, que da pie a la presunta falta administrativa o a la falta administrativa ya después localizada, y </w:t>
      </w:r>
    </w:p>
    <w:p w14:paraId="0D77BBC6" w14:textId="77777777" w:rsidR="006831FE" w:rsidRPr="00735BE0" w:rsidRDefault="006831FE" w:rsidP="00EC6B98">
      <w:pPr>
        <w:pStyle w:val="Prrafodelista"/>
        <w:numPr>
          <w:ilvl w:val="0"/>
          <w:numId w:val="12"/>
        </w:numPr>
        <w:pBdr>
          <w:top w:val="nil"/>
          <w:left w:val="nil"/>
          <w:bottom w:val="nil"/>
          <w:right w:val="nil"/>
          <w:between w:val="nil"/>
        </w:pBdr>
        <w:jc w:val="both"/>
        <w:rPr>
          <w:rFonts w:eastAsia="Arial" w:cs="Arial"/>
          <w:color w:val="000000"/>
          <w:szCs w:val="22"/>
        </w:rPr>
      </w:pPr>
      <w:r w:rsidRPr="00735BE0">
        <w:rPr>
          <w:rFonts w:eastAsia="Arial" w:cs="Arial"/>
          <w:color w:val="000000"/>
          <w:szCs w:val="22"/>
        </w:rPr>
        <w:t>Proponer un modelo de plan de mitigación de riesgos para aplicación y seguimiento que tome en cuenta los modelos que están siendo elaborados por PNUD, la SESNA y USAID.</w:t>
      </w:r>
    </w:p>
    <w:p w14:paraId="456B639C" w14:textId="77777777" w:rsidR="006831FE" w:rsidRDefault="006831FE" w:rsidP="006831FE">
      <w:pPr>
        <w:rPr>
          <w:rFonts w:eastAsia="Arial" w:cs="Arial"/>
          <w:b/>
          <w:color w:val="000000"/>
        </w:rPr>
      </w:pPr>
    </w:p>
    <w:p w14:paraId="43D938DB" w14:textId="6B2E3F9C" w:rsidR="006831FE" w:rsidRDefault="006831FE" w:rsidP="006831FE">
      <w:pPr>
        <w:rPr>
          <w:rFonts w:eastAsia="Arial" w:cs="Arial"/>
          <w:bCs/>
          <w:color w:val="000000"/>
        </w:rPr>
      </w:pPr>
      <w:r>
        <w:rPr>
          <w:rFonts w:eastAsia="Arial" w:cs="Arial"/>
          <w:bCs/>
          <w:color w:val="000000"/>
        </w:rPr>
        <w:t>García Vázquez</w:t>
      </w:r>
      <w:r w:rsidRPr="009B574F">
        <w:rPr>
          <w:rFonts w:eastAsia="Arial" w:cs="Arial"/>
          <w:bCs/>
          <w:color w:val="000000"/>
        </w:rPr>
        <w:t xml:space="preserve"> consulta</w:t>
      </w:r>
      <w:r>
        <w:rPr>
          <w:rFonts w:eastAsia="Arial" w:cs="Arial"/>
          <w:bCs/>
          <w:color w:val="000000"/>
        </w:rPr>
        <w:t xml:space="preserve"> el </w:t>
      </w:r>
      <w:r w:rsidRPr="009B574F">
        <w:rPr>
          <w:rFonts w:eastAsia="Arial" w:cs="Arial"/>
          <w:bCs/>
          <w:color w:val="000000"/>
        </w:rPr>
        <w:t xml:space="preserve">tiempo </w:t>
      </w:r>
      <w:r>
        <w:rPr>
          <w:rFonts w:eastAsia="Arial" w:cs="Arial"/>
          <w:bCs/>
          <w:color w:val="000000"/>
        </w:rPr>
        <w:t xml:space="preserve">en que </w:t>
      </w:r>
      <w:r w:rsidRPr="009B574F">
        <w:rPr>
          <w:rFonts w:eastAsia="Arial" w:cs="Arial"/>
          <w:bCs/>
          <w:color w:val="000000"/>
        </w:rPr>
        <w:t xml:space="preserve">se plantea hacer el análisis. </w:t>
      </w:r>
      <w:r>
        <w:rPr>
          <w:rFonts w:eastAsia="Arial" w:cs="Arial"/>
          <w:bCs/>
          <w:color w:val="000000"/>
        </w:rPr>
        <w:t xml:space="preserve">La Secretaria Técnica responde que aproximadamente en </w:t>
      </w:r>
      <w:r w:rsidRPr="00735BE0">
        <w:rPr>
          <w:rFonts w:eastAsia="Arial" w:cs="Arial"/>
          <w:bCs/>
          <w:color w:val="000000"/>
        </w:rPr>
        <w:t>15 o 20 semanas</w:t>
      </w:r>
      <w:r>
        <w:rPr>
          <w:rFonts w:eastAsia="Arial" w:cs="Arial"/>
          <w:bCs/>
          <w:color w:val="000000"/>
        </w:rPr>
        <w:t>,</w:t>
      </w:r>
      <w:r w:rsidRPr="00735BE0">
        <w:rPr>
          <w:rFonts w:eastAsia="Arial" w:cs="Arial"/>
          <w:bCs/>
          <w:color w:val="000000"/>
        </w:rPr>
        <w:t xml:space="preserve"> dependiendo de los pasos a seguir. </w:t>
      </w:r>
      <w:r>
        <w:rPr>
          <w:rFonts w:eastAsia="Arial" w:cs="Arial"/>
          <w:bCs/>
          <w:color w:val="000000"/>
        </w:rPr>
        <w:t>Resalta que es necesario llevar a cabo una reunión</w:t>
      </w:r>
      <w:r w:rsidRPr="00735BE0">
        <w:rPr>
          <w:rFonts w:eastAsia="Arial" w:cs="Arial"/>
          <w:bCs/>
          <w:color w:val="000000"/>
        </w:rPr>
        <w:t xml:space="preserve"> </w:t>
      </w:r>
      <w:r>
        <w:rPr>
          <w:rFonts w:eastAsia="Arial" w:cs="Arial"/>
          <w:bCs/>
          <w:color w:val="000000"/>
        </w:rPr>
        <w:t>y que se aprobó</w:t>
      </w:r>
      <w:r w:rsidRPr="00735BE0">
        <w:rPr>
          <w:rFonts w:eastAsia="Arial" w:cs="Arial"/>
          <w:bCs/>
          <w:color w:val="000000"/>
        </w:rPr>
        <w:t xml:space="preserve"> la metodología</w:t>
      </w:r>
      <w:r>
        <w:rPr>
          <w:rFonts w:eastAsia="Arial" w:cs="Arial"/>
          <w:bCs/>
          <w:color w:val="000000"/>
        </w:rPr>
        <w:t xml:space="preserve">; posteriormente se tendrá </w:t>
      </w:r>
      <w:r w:rsidRPr="00735BE0">
        <w:rPr>
          <w:rFonts w:eastAsia="Arial" w:cs="Arial"/>
          <w:bCs/>
          <w:color w:val="000000"/>
        </w:rPr>
        <w:t>que acordar un programa semanal con los integrantes del Comité Coordinador que corresponda</w:t>
      </w:r>
      <w:r>
        <w:rPr>
          <w:rFonts w:eastAsia="Arial" w:cs="Arial"/>
          <w:bCs/>
          <w:color w:val="000000"/>
        </w:rPr>
        <w:t xml:space="preserve">. Expone las etapas: </w:t>
      </w:r>
    </w:p>
    <w:p w14:paraId="684B3051" w14:textId="77777777" w:rsidR="006831FE" w:rsidRDefault="006831FE" w:rsidP="006831FE">
      <w:pPr>
        <w:rPr>
          <w:rFonts w:eastAsia="Arial" w:cs="Arial"/>
          <w:bCs/>
          <w:color w:val="000000"/>
        </w:rPr>
      </w:pPr>
    </w:p>
    <w:p w14:paraId="7F66F396" w14:textId="77777777" w:rsidR="006831FE" w:rsidRPr="00200116" w:rsidRDefault="006831FE" w:rsidP="006831FE">
      <w:pPr>
        <w:rPr>
          <w:rFonts w:eastAsia="Arial" w:cs="Arial"/>
          <w:b/>
          <w:color w:val="000000"/>
        </w:rPr>
      </w:pPr>
      <w:r w:rsidRPr="00200116">
        <w:rPr>
          <w:rFonts w:eastAsia="Arial" w:cs="Arial"/>
          <w:b/>
          <w:color w:val="000000"/>
        </w:rPr>
        <w:t xml:space="preserve">Etapa 1. Gestión del proyecto </w:t>
      </w:r>
    </w:p>
    <w:p w14:paraId="2B9BAD04" w14:textId="77777777" w:rsidR="006831FE" w:rsidRPr="00005945" w:rsidRDefault="006831FE" w:rsidP="00EC6B98">
      <w:pPr>
        <w:pStyle w:val="Prrafodelista"/>
        <w:numPr>
          <w:ilvl w:val="0"/>
          <w:numId w:val="13"/>
        </w:numPr>
        <w:jc w:val="both"/>
        <w:rPr>
          <w:rFonts w:eastAsia="Arial" w:cs="Arial"/>
          <w:bCs/>
          <w:color w:val="000000"/>
        </w:rPr>
      </w:pPr>
      <w:r w:rsidRPr="00005945">
        <w:rPr>
          <w:rFonts w:eastAsia="Arial" w:cs="Arial"/>
          <w:bCs/>
          <w:color w:val="000000"/>
        </w:rPr>
        <w:t xml:space="preserve">Gestión de bases de datos </w:t>
      </w:r>
    </w:p>
    <w:p w14:paraId="0E493F1C" w14:textId="77777777" w:rsidR="006831FE" w:rsidRPr="00005945" w:rsidRDefault="006831FE" w:rsidP="00EC6B98">
      <w:pPr>
        <w:pStyle w:val="Prrafodelista"/>
        <w:numPr>
          <w:ilvl w:val="0"/>
          <w:numId w:val="13"/>
        </w:numPr>
        <w:jc w:val="both"/>
        <w:rPr>
          <w:rFonts w:eastAsia="Arial" w:cs="Arial"/>
          <w:bCs/>
          <w:color w:val="000000"/>
        </w:rPr>
      </w:pPr>
      <w:r w:rsidRPr="00005945">
        <w:rPr>
          <w:rFonts w:eastAsia="Arial" w:cs="Arial"/>
          <w:bCs/>
          <w:color w:val="000000"/>
        </w:rPr>
        <w:t xml:space="preserve">Revisión de documentación especializada </w:t>
      </w:r>
    </w:p>
    <w:p w14:paraId="2B06C1AE" w14:textId="77777777" w:rsidR="006831FE" w:rsidRPr="00005945" w:rsidRDefault="006831FE" w:rsidP="00EC6B98">
      <w:pPr>
        <w:pStyle w:val="Prrafodelista"/>
        <w:numPr>
          <w:ilvl w:val="0"/>
          <w:numId w:val="13"/>
        </w:numPr>
        <w:jc w:val="both"/>
        <w:rPr>
          <w:rFonts w:eastAsia="Arial" w:cs="Arial"/>
          <w:bCs/>
          <w:color w:val="000000"/>
        </w:rPr>
      </w:pPr>
      <w:r w:rsidRPr="00005945">
        <w:rPr>
          <w:rFonts w:eastAsia="Arial" w:cs="Arial"/>
          <w:bCs/>
          <w:color w:val="000000"/>
        </w:rPr>
        <w:t>Presentación del proyecto a la Comisión Ejecutiva</w:t>
      </w:r>
    </w:p>
    <w:p w14:paraId="3D410601" w14:textId="77777777" w:rsidR="006831FE" w:rsidRPr="00005945" w:rsidRDefault="006831FE" w:rsidP="00EC6B98">
      <w:pPr>
        <w:pStyle w:val="Prrafodelista"/>
        <w:numPr>
          <w:ilvl w:val="0"/>
          <w:numId w:val="13"/>
        </w:numPr>
        <w:jc w:val="both"/>
        <w:rPr>
          <w:rFonts w:eastAsia="Arial" w:cs="Arial"/>
          <w:bCs/>
          <w:color w:val="000000"/>
        </w:rPr>
      </w:pPr>
      <w:r w:rsidRPr="00005945">
        <w:rPr>
          <w:rFonts w:eastAsia="Arial" w:cs="Arial"/>
          <w:bCs/>
          <w:color w:val="000000"/>
        </w:rPr>
        <w:t>Presentación del proyecto a titulares: ASEJ, CE, ITEI</w:t>
      </w:r>
    </w:p>
    <w:p w14:paraId="02902D62" w14:textId="77777777" w:rsidR="006831FE" w:rsidRPr="00005945" w:rsidRDefault="006831FE" w:rsidP="00EC6B98">
      <w:pPr>
        <w:pStyle w:val="Prrafodelista"/>
        <w:numPr>
          <w:ilvl w:val="0"/>
          <w:numId w:val="13"/>
        </w:numPr>
        <w:jc w:val="both"/>
        <w:rPr>
          <w:rFonts w:eastAsia="Arial" w:cs="Arial"/>
          <w:bCs/>
          <w:color w:val="000000"/>
        </w:rPr>
      </w:pPr>
      <w:r w:rsidRPr="00005945">
        <w:rPr>
          <w:rFonts w:eastAsia="Arial" w:cs="Arial"/>
          <w:bCs/>
          <w:color w:val="000000"/>
        </w:rPr>
        <w:t>Acordar programa de trabajo semanal con enlaces</w:t>
      </w:r>
    </w:p>
    <w:p w14:paraId="7029B3FC" w14:textId="77777777" w:rsidR="006831FE" w:rsidRDefault="006831FE" w:rsidP="006831FE">
      <w:pPr>
        <w:rPr>
          <w:rFonts w:eastAsia="Arial" w:cs="Arial"/>
          <w:b/>
          <w:color w:val="000000"/>
        </w:rPr>
      </w:pPr>
    </w:p>
    <w:p w14:paraId="0AEAAAE9" w14:textId="77777777" w:rsidR="006831FE" w:rsidRPr="00200116" w:rsidRDefault="006831FE" w:rsidP="006831FE">
      <w:pPr>
        <w:rPr>
          <w:rFonts w:eastAsia="Arial" w:cs="Arial"/>
          <w:b/>
          <w:color w:val="000000"/>
        </w:rPr>
      </w:pPr>
      <w:r w:rsidRPr="00200116">
        <w:rPr>
          <w:rFonts w:eastAsia="Arial" w:cs="Arial"/>
          <w:b/>
          <w:color w:val="000000"/>
        </w:rPr>
        <w:t xml:space="preserve">Etapa 2. Diseño de instrumentos </w:t>
      </w:r>
    </w:p>
    <w:p w14:paraId="67AB6776" w14:textId="77777777" w:rsidR="006831FE" w:rsidRPr="00005945" w:rsidRDefault="006831FE" w:rsidP="006831FE">
      <w:pPr>
        <w:rPr>
          <w:rFonts w:eastAsia="Arial" w:cs="Arial"/>
          <w:bCs/>
          <w:color w:val="000000"/>
        </w:rPr>
      </w:pPr>
      <w:r w:rsidRPr="00005945">
        <w:rPr>
          <w:rFonts w:eastAsia="Arial" w:cs="Arial"/>
          <w:bCs/>
          <w:color w:val="000000"/>
        </w:rPr>
        <w:t>Diseño de instrumentos para:</w:t>
      </w:r>
    </w:p>
    <w:p w14:paraId="35AD0A43" w14:textId="77777777" w:rsidR="006831FE" w:rsidRPr="00005945" w:rsidRDefault="006831FE" w:rsidP="00EC6B98">
      <w:pPr>
        <w:pStyle w:val="Prrafodelista"/>
        <w:numPr>
          <w:ilvl w:val="0"/>
          <w:numId w:val="7"/>
        </w:numPr>
        <w:jc w:val="both"/>
        <w:rPr>
          <w:rFonts w:eastAsia="Arial" w:cs="Arial"/>
          <w:bCs/>
          <w:color w:val="000000"/>
        </w:rPr>
      </w:pPr>
      <w:r w:rsidRPr="00005945">
        <w:rPr>
          <w:rFonts w:eastAsia="Arial" w:cs="Arial"/>
          <w:bCs/>
          <w:color w:val="000000"/>
        </w:rPr>
        <w:t>Sistematización y diagramación de datos</w:t>
      </w:r>
    </w:p>
    <w:p w14:paraId="4A6F7180" w14:textId="77777777" w:rsidR="006831FE" w:rsidRPr="00005945" w:rsidRDefault="006831FE" w:rsidP="00EC6B98">
      <w:pPr>
        <w:pStyle w:val="Prrafodelista"/>
        <w:numPr>
          <w:ilvl w:val="0"/>
          <w:numId w:val="7"/>
        </w:numPr>
        <w:jc w:val="both"/>
        <w:rPr>
          <w:rFonts w:eastAsia="Arial" w:cs="Arial"/>
          <w:bCs/>
          <w:color w:val="000000"/>
        </w:rPr>
      </w:pPr>
      <w:r w:rsidRPr="00005945">
        <w:rPr>
          <w:rFonts w:eastAsia="Arial" w:cs="Arial"/>
          <w:bCs/>
          <w:color w:val="000000"/>
        </w:rPr>
        <w:t>Categorización, estratificación y correlación de observaciones recurrentes</w:t>
      </w:r>
    </w:p>
    <w:p w14:paraId="30620814" w14:textId="77777777" w:rsidR="006831FE" w:rsidRPr="00005945" w:rsidRDefault="006831FE" w:rsidP="00EC6B98">
      <w:pPr>
        <w:pStyle w:val="Prrafodelista"/>
        <w:numPr>
          <w:ilvl w:val="0"/>
          <w:numId w:val="7"/>
        </w:numPr>
        <w:jc w:val="both"/>
        <w:rPr>
          <w:rFonts w:eastAsia="Arial" w:cs="Arial"/>
          <w:bCs/>
          <w:color w:val="000000"/>
        </w:rPr>
      </w:pPr>
      <w:r w:rsidRPr="00005945">
        <w:rPr>
          <w:rFonts w:eastAsia="Arial" w:cs="Arial"/>
          <w:bCs/>
          <w:color w:val="000000"/>
        </w:rPr>
        <w:t>Identificación, valoración y mapeo de riesgos</w:t>
      </w:r>
    </w:p>
    <w:p w14:paraId="3BDCB32B" w14:textId="77777777" w:rsidR="006831FE" w:rsidRPr="00005945" w:rsidRDefault="006831FE" w:rsidP="00EC6B98">
      <w:pPr>
        <w:pStyle w:val="Prrafodelista"/>
        <w:numPr>
          <w:ilvl w:val="0"/>
          <w:numId w:val="7"/>
        </w:numPr>
        <w:jc w:val="both"/>
        <w:rPr>
          <w:rFonts w:eastAsia="Arial" w:cs="Arial"/>
          <w:bCs/>
          <w:color w:val="000000"/>
        </w:rPr>
      </w:pPr>
      <w:r w:rsidRPr="00005945">
        <w:rPr>
          <w:rFonts w:eastAsia="Arial" w:cs="Arial"/>
          <w:bCs/>
          <w:color w:val="000000"/>
        </w:rPr>
        <w:t>Matrices de seguimiento y evaluación</w:t>
      </w:r>
    </w:p>
    <w:p w14:paraId="1CD2528A" w14:textId="77777777" w:rsidR="006831FE" w:rsidRDefault="006831FE" w:rsidP="006831FE">
      <w:pPr>
        <w:rPr>
          <w:rFonts w:eastAsia="Arial" w:cs="Arial"/>
          <w:bCs/>
          <w:color w:val="000000"/>
        </w:rPr>
      </w:pPr>
    </w:p>
    <w:p w14:paraId="4BB52A69" w14:textId="77777777" w:rsidR="006831FE" w:rsidRPr="00200116" w:rsidRDefault="006831FE" w:rsidP="006831FE">
      <w:pPr>
        <w:rPr>
          <w:rFonts w:eastAsia="Arial" w:cs="Arial"/>
          <w:bCs/>
          <w:color w:val="000000"/>
          <w:lang w:val="es-MX"/>
        </w:rPr>
      </w:pPr>
      <w:r w:rsidRPr="00200116">
        <w:rPr>
          <w:rFonts w:eastAsia="Arial" w:cs="Arial"/>
          <w:b/>
          <w:bCs/>
          <w:color w:val="000000"/>
        </w:rPr>
        <w:t xml:space="preserve">Etapa 3. Análisis de riesgos </w:t>
      </w:r>
    </w:p>
    <w:p w14:paraId="0028D36B" w14:textId="77777777" w:rsidR="006831FE" w:rsidRPr="00005945" w:rsidRDefault="006831FE" w:rsidP="00EC6B98">
      <w:pPr>
        <w:pStyle w:val="Prrafodelista"/>
        <w:numPr>
          <w:ilvl w:val="0"/>
          <w:numId w:val="8"/>
        </w:numPr>
        <w:jc w:val="both"/>
        <w:rPr>
          <w:rFonts w:eastAsia="Arial" w:cs="Arial"/>
          <w:bCs/>
          <w:color w:val="000000"/>
          <w:lang w:val="es-MX"/>
        </w:rPr>
      </w:pPr>
      <w:r w:rsidRPr="00005945">
        <w:rPr>
          <w:rFonts w:eastAsia="Arial" w:cs="Arial"/>
          <w:bCs/>
          <w:color w:val="000000"/>
        </w:rPr>
        <w:t>Integración de instrumentos, sistematización y análisis de información</w:t>
      </w:r>
    </w:p>
    <w:p w14:paraId="3943581C" w14:textId="77777777" w:rsidR="006831FE" w:rsidRPr="00005945" w:rsidRDefault="006831FE" w:rsidP="00EC6B98">
      <w:pPr>
        <w:pStyle w:val="Prrafodelista"/>
        <w:numPr>
          <w:ilvl w:val="0"/>
          <w:numId w:val="8"/>
        </w:numPr>
        <w:jc w:val="both"/>
        <w:rPr>
          <w:rFonts w:eastAsia="Arial" w:cs="Arial"/>
          <w:bCs/>
          <w:color w:val="000000"/>
          <w:lang w:val="es-MX"/>
        </w:rPr>
      </w:pPr>
      <w:r w:rsidRPr="00005945">
        <w:rPr>
          <w:rFonts w:eastAsia="Arial" w:cs="Arial"/>
          <w:bCs/>
          <w:color w:val="000000"/>
        </w:rPr>
        <w:t>Mapeo del proceso y valoración de riesgos</w:t>
      </w:r>
    </w:p>
    <w:p w14:paraId="6797F267" w14:textId="77777777" w:rsidR="006831FE" w:rsidRPr="00005945" w:rsidRDefault="006831FE" w:rsidP="00EC6B98">
      <w:pPr>
        <w:pStyle w:val="Prrafodelista"/>
        <w:numPr>
          <w:ilvl w:val="0"/>
          <w:numId w:val="8"/>
        </w:numPr>
        <w:jc w:val="both"/>
        <w:rPr>
          <w:rFonts w:eastAsia="Arial" w:cs="Arial"/>
          <w:bCs/>
          <w:color w:val="000000"/>
          <w:lang w:val="es-MX"/>
        </w:rPr>
      </w:pPr>
      <w:r w:rsidRPr="00005945">
        <w:rPr>
          <w:rFonts w:eastAsia="Arial" w:cs="Arial"/>
          <w:bCs/>
          <w:color w:val="000000"/>
        </w:rPr>
        <w:t>Principales hallazgos</w:t>
      </w:r>
    </w:p>
    <w:p w14:paraId="4B3B458A" w14:textId="77777777" w:rsidR="006831FE" w:rsidRPr="00005945" w:rsidRDefault="006831FE" w:rsidP="00EC6B98">
      <w:pPr>
        <w:pStyle w:val="Prrafodelista"/>
        <w:numPr>
          <w:ilvl w:val="0"/>
          <w:numId w:val="8"/>
        </w:numPr>
        <w:jc w:val="both"/>
        <w:rPr>
          <w:rFonts w:eastAsia="Arial" w:cs="Arial"/>
          <w:bCs/>
          <w:color w:val="000000"/>
          <w:lang w:val="es-MX"/>
        </w:rPr>
      </w:pPr>
      <w:r w:rsidRPr="00005945">
        <w:rPr>
          <w:rFonts w:eastAsia="Arial" w:cs="Arial"/>
          <w:bCs/>
          <w:color w:val="000000"/>
        </w:rPr>
        <w:t>Modelo de Plan de mitigación</w:t>
      </w:r>
    </w:p>
    <w:p w14:paraId="3BE79D18" w14:textId="27897BF4" w:rsidR="006831FE" w:rsidRDefault="006831FE" w:rsidP="006831FE">
      <w:pPr>
        <w:spacing w:line="276" w:lineRule="auto"/>
        <w:rPr>
          <w:rFonts w:eastAsia="Arial" w:cs="Arial"/>
          <w:bCs/>
          <w:color w:val="000000"/>
        </w:rPr>
      </w:pPr>
      <w:r>
        <w:rPr>
          <w:rFonts w:eastAsia="Arial" w:cs="Arial"/>
          <w:bCs/>
          <w:color w:val="000000"/>
        </w:rPr>
        <w:br/>
        <w:t xml:space="preserve">García Vázquez considera que es un proyecto interesante, </w:t>
      </w:r>
      <w:r w:rsidRPr="00200116">
        <w:rPr>
          <w:rFonts w:eastAsia="Arial" w:cs="Arial"/>
          <w:bCs/>
          <w:color w:val="000000"/>
        </w:rPr>
        <w:t xml:space="preserve">la definición del modelo para el análisis de riesgo como el modelo para la mitigación </w:t>
      </w:r>
      <w:r>
        <w:rPr>
          <w:rFonts w:eastAsia="Arial" w:cs="Arial"/>
          <w:bCs/>
          <w:color w:val="000000"/>
        </w:rPr>
        <w:t>será la base para</w:t>
      </w:r>
      <w:r w:rsidRPr="00200116">
        <w:rPr>
          <w:rFonts w:eastAsia="Arial" w:cs="Arial"/>
          <w:bCs/>
          <w:color w:val="000000"/>
        </w:rPr>
        <w:t xml:space="preserve"> trasladar a otros ámbitos de la Política </w:t>
      </w:r>
      <w:r>
        <w:rPr>
          <w:rFonts w:eastAsia="Arial" w:cs="Arial"/>
          <w:bCs/>
          <w:color w:val="000000"/>
        </w:rPr>
        <w:t xml:space="preserve">Estatal </w:t>
      </w:r>
      <w:r w:rsidRPr="00200116">
        <w:rPr>
          <w:rFonts w:eastAsia="Arial" w:cs="Arial"/>
          <w:bCs/>
          <w:color w:val="000000"/>
        </w:rPr>
        <w:t>Anticorrupción</w:t>
      </w:r>
      <w:r>
        <w:rPr>
          <w:rFonts w:eastAsia="Arial" w:cs="Arial"/>
          <w:bCs/>
          <w:color w:val="000000"/>
        </w:rPr>
        <w:t xml:space="preserve"> de Jalisco</w:t>
      </w:r>
      <w:r w:rsidRPr="00200116">
        <w:rPr>
          <w:rFonts w:eastAsia="Arial" w:cs="Arial"/>
          <w:bCs/>
          <w:color w:val="000000"/>
        </w:rPr>
        <w:t xml:space="preserve">, </w:t>
      </w:r>
      <w:r>
        <w:rPr>
          <w:rFonts w:eastAsia="Arial" w:cs="Arial"/>
          <w:bCs/>
          <w:color w:val="000000"/>
        </w:rPr>
        <w:t xml:space="preserve">por lo que reitera que lo considera un proyecto pertinente. </w:t>
      </w:r>
    </w:p>
    <w:p w14:paraId="60650207" w14:textId="77777777" w:rsidR="006831FE" w:rsidRDefault="006831FE" w:rsidP="006831FE">
      <w:pPr>
        <w:spacing w:line="276" w:lineRule="auto"/>
        <w:rPr>
          <w:rFonts w:eastAsia="Arial" w:cs="Arial"/>
          <w:bCs/>
          <w:color w:val="000000"/>
        </w:rPr>
      </w:pPr>
    </w:p>
    <w:p w14:paraId="3F827304" w14:textId="1E0B9DD6" w:rsidR="006831FE" w:rsidRDefault="006831FE" w:rsidP="006831FE">
      <w:pPr>
        <w:spacing w:line="276" w:lineRule="auto"/>
        <w:rPr>
          <w:rFonts w:eastAsia="Arial" w:cs="Arial"/>
          <w:bCs/>
          <w:color w:val="000000"/>
        </w:rPr>
      </w:pPr>
      <w:r>
        <w:rPr>
          <w:rFonts w:eastAsia="Arial" w:cs="Arial"/>
          <w:bCs/>
          <w:color w:val="000000"/>
        </w:rPr>
        <w:t xml:space="preserve">La Secretaria Técnica consulta si existe algún comentario al respecto. Al no haberlo, somete a aprobación el método, que en su momento arrojará </w:t>
      </w:r>
      <w:r w:rsidRPr="00200116">
        <w:rPr>
          <w:rFonts w:eastAsia="Arial" w:cs="Arial"/>
          <w:bCs/>
          <w:color w:val="000000"/>
        </w:rPr>
        <w:t xml:space="preserve">un modelo a seguir para </w:t>
      </w:r>
      <w:r>
        <w:rPr>
          <w:rFonts w:eastAsia="Arial" w:cs="Arial"/>
          <w:bCs/>
          <w:color w:val="000000"/>
        </w:rPr>
        <w:t>posteriormente</w:t>
      </w:r>
      <w:r w:rsidRPr="00200116">
        <w:rPr>
          <w:rFonts w:eastAsia="Arial" w:cs="Arial"/>
          <w:bCs/>
          <w:color w:val="000000"/>
        </w:rPr>
        <w:t xml:space="preserve"> recomendar, instruir</w:t>
      </w:r>
      <w:r>
        <w:rPr>
          <w:rFonts w:eastAsia="Arial" w:cs="Arial"/>
          <w:bCs/>
          <w:color w:val="000000"/>
        </w:rPr>
        <w:t xml:space="preserve"> y</w:t>
      </w:r>
      <w:r w:rsidRPr="00200116">
        <w:rPr>
          <w:rFonts w:eastAsia="Arial" w:cs="Arial"/>
          <w:bCs/>
          <w:color w:val="000000"/>
        </w:rPr>
        <w:t xml:space="preserve"> hacer estudios</w:t>
      </w:r>
      <w:r>
        <w:rPr>
          <w:rFonts w:eastAsia="Arial" w:cs="Arial"/>
          <w:bCs/>
          <w:color w:val="000000"/>
        </w:rPr>
        <w:t>.</w:t>
      </w:r>
      <w:r w:rsidRPr="00200116">
        <w:rPr>
          <w:rFonts w:eastAsia="Arial" w:cs="Arial"/>
          <w:bCs/>
          <w:color w:val="000000"/>
        </w:rPr>
        <w:t xml:space="preserve"> </w:t>
      </w:r>
    </w:p>
    <w:p w14:paraId="3EB2E5AC" w14:textId="77777777" w:rsidR="006831FE" w:rsidRDefault="006831FE" w:rsidP="006831FE">
      <w:pPr>
        <w:spacing w:line="276" w:lineRule="auto"/>
        <w:rPr>
          <w:rFonts w:eastAsia="Arial" w:cs="Arial"/>
          <w:bCs/>
          <w:color w:val="000000"/>
        </w:rPr>
      </w:pPr>
    </w:p>
    <w:p w14:paraId="0A833D5E" w14:textId="7021C389" w:rsidR="006831FE" w:rsidRDefault="006831FE" w:rsidP="006831FE">
      <w:pPr>
        <w:spacing w:line="276" w:lineRule="auto"/>
        <w:rPr>
          <w:rFonts w:eastAsia="Arial" w:cs="Arial"/>
          <w:bCs/>
          <w:color w:val="000000"/>
        </w:rPr>
      </w:pPr>
      <w:r>
        <w:rPr>
          <w:rFonts w:eastAsia="Arial" w:cs="Arial"/>
          <w:bCs/>
          <w:color w:val="000000"/>
        </w:rPr>
        <w:t>Da lectura al acuerdo que se propone: “S</w:t>
      </w:r>
      <w:r w:rsidRPr="00200116">
        <w:rPr>
          <w:rFonts w:eastAsia="Arial" w:cs="Arial"/>
          <w:bCs/>
          <w:color w:val="000000"/>
        </w:rPr>
        <w:t>e aprueba la metodología para identificar riesgos de faltas administrativas y hechos de corrupción en los procesos de adquisiciones de los entes públicos y proponer un plan para su mitigación, con base en observaciones emitidas por la Auditoría Superior del Estado</w:t>
      </w:r>
      <w:r>
        <w:rPr>
          <w:rFonts w:eastAsia="Arial" w:cs="Arial"/>
          <w:bCs/>
          <w:color w:val="000000"/>
        </w:rPr>
        <w:t xml:space="preserve"> de Jalisco</w:t>
      </w:r>
      <w:r w:rsidRPr="00200116">
        <w:rPr>
          <w:rFonts w:eastAsia="Arial" w:cs="Arial"/>
          <w:bCs/>
          <w:color w:val="000000"/>
        </w:rPr>
        <w:t>, la Contraloría del Estado y el Instituto de Transparencia, Información Pública y Protección de Datos Personales del Estado de Jalisco</w:t>
      </w:r>
      <w:r>
        <w:rPr>
          <w:rFonts w:eastAsia="Arial" w:cs="Arial"/>
          <w:bCs/>
          <w:color w:val="000000"/>
        </w:rPr>
        <w:t xml:space="preserve">”. </w:t>
      </w:r>
    </w:p>
    <w:p w14:paraId="5A57469E" w14:textId="77777777" w:rsidR="006831FE" w:rsidRDefault="006831FE" w:rsidP="006831FE">
      <w:pPr>
        <w:spacing w:line="276" w:lineRule="auto"/>
        <w:rPr>
          <w:rFonts w:eastAsia="Arial" w:cs="Arial"/>
          <w:bCs/>
          <w:color w:val="000000"/>
        </w:rPr>
      </w:pPr>
    </w:p>
    <w:p w14:paraId="38EB73D4" w14:textId="67D5FB9D" w:rsidR="009B1C14" w:rsidRDefault="006831FE" w:rsidP="006831FE">
      <w:pPr>
        <w:tabs>
          <w:tab w:val="left" w:pos="2610"/>
        </w:tabs>
        <w:rPr>
          <w:rFonts w:eastAsia="Arial" w:cs="Arial"/>
          <w:b/>
          <w:bCs/>
          <w:color w:val="006078"/>
          <w:szCs w:val="22"/>
        </w:rPr>
      </w:pPr>
      <w:r>
        <w:rPr>
          <w:rFonts w:eastAsia="Arial" w:cs="Arial"/>
          <w:bCs/>
          <w:color w:val="000000"/>
        </w:rPr>
        <w:t>Con la votación expresa de quienes integran la Comisión Ejecutiva presentes de manera virtual, es aprobado.</w:t>
      </w:r>
    </w:p>
    <w:p w14:paraId="441AB690" w14:textId="77777777" w:rsidR="009B1C14" w:rsidRPr="009B1C14" w:rsidRDefault="009B1C14" w:rsidP="009B1C14">
      <w:pPr>
        <w:tabs>
          <w:tab w:val="left" w:pos="2610"/>
        </w:tabs>
        <w:rPr>
          <w:rFonts w:eastAsia="Arial" w:cs="Arial"/>
          <w:b/>
          <w:bCs/>
          <w:color w:val="006078"/>
          <w:szCs w:val="22"/>
        </w:rPr>
      </w:pPr>
    </w:p>
    <w:p w14:paraId="5661E3BC" w14:textId="50517DC9" w:rsidR="00B95E66" w:rsidRDefault="00B95E66" w:rsidP="00EC6B98">
      <w:pPr>
        <w:pStyle w:val="Prrafodelista"/>
        <w:numPr>
          <w:ilvl w:val="0"/>
          <w:numId w:val="1"/>
        </w:numPr>
        <w:tabs>
          <w:tab w:val="left" w:pos="2610"/>
        </w:tabs>
        <w:rPr>
          <w:rFonts w:eastAsia="Arial" w:cs="Arial"/>
          <w:b/>
          <w:bCs/>
          <w:color w:val="006078"/>
          <w:szCs w:val="22"/>
        </w:rPr>
      </w:pPr>
      <w:r w:rsidRPr="00B95E66">
        <w:rPr>
          <w:rFonts w:eastAsia="Arial" w:cs="Arial"/>
          <w:b/>
          <w:bCs/>
          <w:color w:val="006078"/>
          <w:szCs w:val="22"/>
        </w:rPr>
        <w:t>Asuntos generales</w:t>
      </w:r>
    </w:p>
    <w:p w14:paraId="10F47B79" w14:textId="463FA24A" w:rsidR="00B95E66" w:rsidRDefault="00B95E66" w:rsidP="00B95E66">
      <w:pPr>
        <w:tabs>
          <w:tab w:val="left" w:pos="2610"/>
        </w:tabs>
        <w:rPr>
          <w:rFonts w:eastAsia="Arial" w:cs="Arial"/>
          <w:b/>
          <w:bCs/>
          <w:color w:val="006078"/>
          <w:szCs w:val="22"/>
        </w:rPr>
      </w:pPr>
    </w:p>
    <w:p w14:paraId="4B1EEFA9" w14:textId="77777777" w:rsidR="00C32742" w:rsidRDefault="00C32742" w:rsidP="00C32742">
      <w:pPr>
        <w:spacing w:line="276" w:lineRule="auto"/>
        <w:rPr>
          <w:rFonts w:eastAsia="Arial" w:cs="Arial"/>
          <w:bCs/>
          <w:color w:val="000000"/>
        </w:rPr>
      </w:pPr>
      <w:r w:rsidRPr="00340AEB">
        <w:rPr>
          <w:rFonts w:eastAsia="Arial" w:cs="Arial"/>
          <w:bCs/>
          <w:color w:val="000000"/>
        </w:rPr>
        <w:t xml:space="preserve">La Secretaria Técnica informa </w:t>
      </w:r>
      <w:r>
        <w:rPr>
          <w:rFonts w:eastAsia="Arial" w:cs="Arial"/>
          <w:bCs/>
          <w:color w:val="000000"/>
        </w:rPr>
        <w:t xml:space="preserve">que </w:t>
      </w:r>
      <w:r w:rsidRPr="00340AEB">
        <w:rPr>
          <w:rFonts w:eastAsia="Arial" w:cs="Arial"/>
          <w:bCs/>
          <w:color w:val="000000"/>
        </w:rPr>
        <w:t xml:space="preserve">no hay asuntos por desahogar. </w:t>
      </w:r>
      <w:r>
        <w:rPr>
          <w:rFonts w:eastAsia="Arial" w:cs="Arial"/>
          <w:bCs/>
          <w:color w:val="000000"/>
        </w:rPr>
        <w:t>García Vázquez</w:t>
      </w:r>
      <w:r w:rsidRPr="00340AEB">
        <w:rPr>
          <w:rFonts w:eastAsia="Arial" w:cs="Arial"/>
          <w:bCs/>
          <w:color w:val="000000"/>
        </w:rPr>
        <w:t xml:space="preserve"> por su parte consulta </w:t>
      </w:r>
      <w:r>
        <w:rPr>
          <w:rFonts w:eastAsia="Arial" w:cs="Arial"/>
          <w:bCs/>
          <w:color w:val="000000"/>
        </w:rPr>
        <w:t>sobre</w:t>
      </w:r>
      <w:r w:rsidRPr="00340AEB">
        <w:rPr>
          <w:rFonts w:eastAsia="Arial" w:cs="Arial"/>
          <w:bCs/>
          <w:color w:val="000000"/>
        </w:rPr>
        <w:t xml:space="preserve"> los tiempos óptimos para tener una reunión de trabajo con </w:t>
      </w:r>
      <w:r>
        <w:rPr>
          <w:rFonts w:eastAsia="Arial" w:cs="Arial"/>
          <w:bCs/>
          <w:color w:val="000000"/>
        </w:rPr>
        <w:t xml:space="preserve">el </w:t>
      </w:r>
      <w:r w:rsidRPr="00340AEB">
        <w:rPr>
          <w:rFonts w:eastAsia="Arial" w:cs="Arial"/>
          <w:bCs/>
          <w:color w:val="000000"/>
        </w:rPr>
        <w:t>Comité Coordinador</w:t>
      </w:r>
      <w:r>
        <w:rPr>
          <w:rFonts w:eastAsia="Arial" w:cs="Arial"/>
          <w:bCs/>
          <w:color w:val="000000"/>
        </w:rPr>
        <w:t xml:space="preserve"> y</w:t>
      </w:r>
      <w:r w:rsidRPr="00340AEB">
        <w:rPr>
          <w:rFonts w:eastAsia="Arial" w:cs="Arial"/>
          <w:bCs/>
          <w:color w:val="000000"/>
        </w:rPr>
        <w:t xml:space="preserve"> discutir estos aspectos de la Política Estatal Anticorrupción. La Secretaria Técnica </w:t>
      </w:r>
      <w:r>
        <w:rPr>
          <w:rFonts w:eastAsia="Arial" w:cs="Arial"/>
          <w:bCs/>
          <w:color w:val="000000"/>
        </w:rPr>
        <w:t xml:space="preserve">menciona que lo que procedería </w:t>
      </w:r>
      <w:r w:rsidRPr="00E05E86">
        <w:rPr>
          <w:rFonts w:eastAsia="Arial" w:cs="Arial"/>
          <w:bCs/>
          <w:color w:val="000000"/>
        </w:rPr>
        <w:t>es que</w:t>
      </w:r>
      <w:r>
        <w:rPr>
          <w:rFonts w:eastAsia="Arial" w:cs="Arial"/>
          <w:bCs/>
          <w:color w:val="000000"/>
        </w:rPr>
        <w:t>,</w:t>
      </w:r>
      <w:r w:rsidRPr="00E05E86">
        <w:rPr>
          <w:rFonts w:eastAsia="Arial" w:cs="Arial"/>
          <w:bCs/>
          <w:color w:val="000000"/>
        </w:rPr>
        <w:t xml:space="preserve"> a través de </w:t>
      </w:r>
      <w:r>
        <w:rPr>
          <w:rFonts w:eastAsia="Arial" w:cs="Arial"/>
          <w:bCs/>
          <w:color w:val="000000"/>
        </w:rPr>
        <w:t>su</w:t>
      </w:r>
      <w:r w:rsidRPr="00E05E86">
        <w:rPr>
          <w:rFonts w:eastAsia="Arial" w:cs="Arial"/>
          <w:bCs/>
          <w:color w:val="000000"/>
        </w:rPr>
        <w:t xml:space="preserve"> persona</w:t>
      </w:r>
      <w:r>
        <w:rPr>
          <w:rFonts w:eastAsia="Arial" w:cs="Arial"/>
          <w:bCs/>
          <w:color w:val="000000"/>
        </w:rPr>
        <w:t>,</w:t>
      </w:r>
      <w:r w:rsidRPr="00E05E86">
        <w:rPr>
          <w:rFonts w:eastAsia="Arial" w:cs="Arial"/>
          <w:bCs/>
          <w:color w:val="000000"/>
        </w:rPr>
        <w:t xml:space="preserve"> les har</w:t>
      </w:r>
      <w:r>
        <w:rPr>
          <w:rFonts w:eastAsia="Arial" w:cs="Arial"/>
          <w:bCs/>
          <w:color w:val="000000"/>
        </w:rPr>
        <w:t>á</w:t>
      </w:r>
      <w:r w:rsidRPr="00E05E86">
        <w:rPr>
          <w:rFonts w:eastAsia="Arial" w:cs="Arial"/>
          <w:bCs/>
          <w:color w:val="000000"/>
        </w:rPr>
        <w:t xml:space="preserve"> saber </w:t>
      </w:r>
      <w:r>
        <w:rPr>
          <w:rFonts w:eastAsia="Arial" w:cs="Arial"/>
          <w:bCs/>
          <w:color w:val="000000"/>
        </w:rPr>
        <w:t xml:space="preserve">el </w:t>
      </w:r>
      <w:r w:rsidRPr="00E05E86">
        <w:rPr>
          <w:rFonts w:eastAsia="Arial" w:cs="Arial"/>
          <w:bCs/>
          <w:color w:val="000000"/>
        </w:rPr>
        <w:t xml:space="preserve">acuerdo hoy al Comité Coordinador para buscar una fecha para la próxima semana, </w:t>
      </w:r>
      <w:r>
        <w:rPr>
          <w:rFonts w:eastAsia="Arial" w:cs="Arial"/>
          <w:bCs/>
          <w:color w:val="000000"/>
        </w:rPr>
        <w:t>ya que para realizar</w:t>
      </w:r>
      <w:r w:rsidRPr="00E05E86">
        <w:rPr>
          <w:rFonts w:eastAsia="Arial" w:cs="Arial"/>
          <w:bCs/>
          <w:color w:val="000000"/>
        </w:rPr>
        <w:t xml:space="preserve"> los ajustes que se deriven de ello se requiere tiempo </w:t>
      </w:r>
      <w:r>
        <w:rPr>
          <w:rFonts w:eastAsia="Arial" w:cs="Arial"/>
          <w:bCs/>
          <w:color w:val="000000"/>
        </w:rPr>
        <w:t>a fin de tener el documento par</w:t>
      </w:r>
      <w:r w:rsidRPr="00E05E86">
        <w:rPr>
          <w:rFonts w:eastAsia="Arial" w:cs="Arial"/>
          <w:bCs/>
          <w:color w:val="000000"/>
        </w:rPr>
        <w:t>a la sesión del 26</w:t>
      </w:r>
      <w:r>
        <w:rPr>
          <w:rFonts w:eastAsia="Arial" w:cs="Arial"/>
          <w:bCs/>
          <w:color w:val="000000"/>
        </w:rPr>
        <w:t xml:space="preserve"> de octubre. Considera que dicha reunión se tendría que realizar </w:t>
      </w:r>
      <w:r w:rsidRPr="00E05E86">
        <w:rPr>
          <w:rFonts w:eastAsia="Arial" w:cs="Arial"/>
          <w:bCs/>
          <w:color w:val="000000"/>
        </w:rPr>
        <w:t>antes del 20 de octubre</w:t>
      </w:r>
      <w:r>
        <w:rPr>
          <w:rFonts w:eastAsia="Arial" w:cs="Arial"/>
          <w:bCs/>
          <w:color w:val="000000"/>
        </w:rPr>
        <w:t xml:space="preserve">. </w:t>
      </w:r>
    </w:p>
    <w:p w14:paraId="60C2FC6E" w14:textId="5FC4ECFC" w:rsidR="00C83422" w:rsidRPr="00B95E66" w:rsidRDefault="00C83422" w:rsidP="00B95E66">
      <w:pPr>
        <w:tabs>
          <w:tab w:val="left" w:pos="2610"/>
        </w:tabs>
        <w:rPr>
          <w:rFonts w:eastAsia="Arial" w:cs="Arial"/>
          <w:b/>
          <w:bCs/>
          <w:color w:val="006078"/>
          <w:szCs w:val="22"/>
        </w:rPr>
      </w:pPr>
      <w:bookmarkStart w:id="1" w:name="_GoBack"/>
      <w:bookmarkEnd w:id="1"/>
    </w:p>
    <w:p w14:paraId="01ABCDE3" w14:textId="1C0DBEEA" w:rsidR="00CD0D2D" w:rsidRPr="00CD0D2D" w:rsidRDefault="00CD0D2D" w:rsidP="00EC6B98">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440B3E47" w14:textId="77777777" w:rsidR="003D6BDA" w:rsidRDefault="003D6BDA" w:rsidP="003D6BDA">
      <w:pPr>
        <w:rPr>
          <w:rFonts w:eastAsia="Arial" w:cs="Arial"/>
        </w:rPr>
      </w:pPr>
      <w:r>
        <w:rPr>
          <w:rFonts w:eastAsia="Arial" w:cs="Arial"/>
        </w:rPr>
        <w:t>La Comisión Ejecutiva en su Quinta Sesión Ordinaria de 2020 dicta los siguientes acuerdos:</w:t>
      </w:r>
    </w:p>
    <w:p w14:paraId="7E61026E" w14:textId="77777777" w:rsidR="003D6BDA" w:rsidRDefault="003D6BDA" w:rsidP="003D6BDA">
      <w:pPr>
        <w:rPr>
          <w:rFonts w:eastAsia="Arial" w:cs="Arial"/>
          <w:b/>
        </w:rPr>
      </w:pPr>
    </w:p>
    <w:p w14:paraId="6AA73197" w14:textId="77777777"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A.CE.2020.18</w:t>
      </w:r>
    </w:p>
    <w:p w14:paraId="2B2662F8" w14:textId="77777777" w:rsidR="003D6BDA" w:rsidRDefault="003D6BDA" w:rsidP="003D6BDA">
      <w:pPr>
        <w:rPr>
          <w:rFonts w:eastAsia="Arial" w:cs="Arial"/>
        </w:rPr>
      </w:pPr>
      <w:r w:rsidRPr="00A06827">
        <w:rPr>
          <w:rFonts w:eastAsia="Arial" w:cs="Arial"/>
        </w:rPr>
        <w:t>Se aprueba en lo general la Propuesta de Política Estatal Anticorrupción de Jalisco, la cu</w:t>
      </w:r>
      <w:r>
        <w:rPr>
          <w:rFonts w:eastAsia="Arial" w:cs="Arial"/>
        </w:rPr>
        <w:t>a</w:t>
      </w:r>
      <w:r w:rsidRPr="00A06827">
        <w:rPr>
          <w:rFonts w:eastAsia="Arial" w:cs="Arial"/>
        </w:rPr>
        <w:t>l deberá ser revisada en reunión técnica de trabajo con quienes integran la Comisión Ejecutiva y el Comité Coordinador, así como la Secretaria Técnica para</w:t>
      </w:r>
      <w:r>
        <w:rPr>
          <w:rFonts w:eastAsia="Arial" w:cs="Arial"/>
        </w:rPr>
        <w:t>,</w:t>
      </w:r>
      <w:r w:rsidRPr="00A06827">
        <w:rPr>
          <w:rFonts w:eastAsia="Arial" w:cs="Arial"/>
        </w:rPr>
        <w:t xml:space="preserve"> en su caso</w:t>
      </w:r>
      <w:r>
        <w:rPr>
          <w:rFonts w:eastAsia="Arial" w:cs="Arial"/>
        </w:rPr>
        <w:t>,</w:t>
      </w:r>
      <w:r w:rsidRPr="00A06827">
        <w:rPr>
          <w:rFonts w:eastAsia="Arial" w:cs="Arial"/>
        </w:rPr>
        <w:t xml:space="preserve"> realizar las adecuaciones correspondientes a la brevedad</w:t>
      </w:r>
      <w:r>
        <w:rPr>
          <w:rFonts w:eastAsia="Arial" w:cs="Arial"/>
        </w:rPr>
        <w:t>.</w:t>
      </w:r>
    </w:p>
    <w:p w14:paraId="7AAF9A42" w14:textId="77777777" w:rsidR="003D6BDA" w:rsidRDefault="003D6BDA" w:rsidP="003D6BDA">
      <w:pPr>
        <w:rPr>
          <w:rFonts w:eastAsia="Arial" w:cs="Arial"/>
        </w:rPr>
      </w:pPr>
    </w:p>
    <w:p w14:paraId="3DBDD1D5" w14:textId="77777777"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A.CE.2020.19</w:t>
      </w:r>
    </w:p>
    <w:p w14:paraId="3627BBF6" w14:textId="77777777" w:rsidR="003D6BDA" w:rsidRDefault="003D6BDA" w:rsidP="003D6BDA">
      <w:pPr>
        <w:rPr>
          <w:rFonts w:eastAsia="Arial" w:cs="Arial"/>
        </w:rPr>
      </w:pPr>
      <w:r>
        <w:rPr>
          <w:rFonts w:eastAsia="Arial" w:cs="Arial"/>
          <w:color w:val="000000"/>
        </w:rPr>
        <w:t>S</w:t>
      </w:r>
      <w:r w:rsidRPr="00A02691">
        <w:rPr>
          <w:rFonts w:eastAsia="Arial" w:cs="Arial"/>
          <w:color w:val="000000"/>
        </w:rPr>
        <w:t>e aprueba la metodología para identificar riesgos de faltas administrativas y hechos de corrupción en los procesos de adquisiciones de los entes públicos y proponer un plan para su mitigación, con base en observaciones emitidas por la Auditoría Superior del Estado</w:t>
      </w:r>
      <w:r>
        <w:rPr>
          <w:rFonts w:eastAsia="Arial" w:cs="Arial"/>
          <w:color w:val="000000"/>
        </w:rPr>
        <w:t xml:space="preserve"> de Jalisco</w:t>
      </w:r>
      <w:r w:rsidRPr="00A02691">
        <w:rPr>
          <w:rFonts w:eastAsia="Arial" w:cs="Arial"/>
          <w:color w:val="000000"/>
        </w:rPr>
        <w:t>, la Contraloría del Estado y el Instituto de Transparencia, Información Pública y Protección de Datos Personales del Estado de Jalisco.</w:t>
      </w:r>
    </w:p>
    <w:p w14:paraId="688BC4ED" w14:textId="550E9C33" w:rsidR="00377DBC" w:rsidRDefault="00377DBC" w:rsidP="00CD0D2D">
      <w:pPr>
        <w:rPr>
          <w:rFonts w:eastAsia="Arial" w:cs="Arial"/>
          <w:szCs w:val="22"/>
          <w:lang w:val="es-ES"/>
        </w:rPr>
      </w:pPr>
    </w:p>
    <w:p w14:paraId="69DB10C2" w14:textId="77777777" w:rsidR="00377DBC" w:rsidRDefault="00377DBC" w:rsidP="00CD0D2D">
      <w:pPr>
        <w:rPr>
          <w:rFonts w:eastAsia="Arial" w:cs="Arial"/>
          <w:szCs w:val="22"/>
          <w:lang w:val="es-ES"/>
        </w:rPr>
      </w:pPr>
    </w:p>
    <w:p w14:paraId="372E6407" w14:textId="77777777" w:rsidR="00CD0D2D" w:rsidRPr="00CD0D2D" w:rsidRDefault="00CD0D2D" w:rsidP="00EC6B98">
      <w:pPr>
        <w:pStyle w:val="Prrafodelista"/>
        <w:numPr>
          <w:ilvl w:val="0"/>
          <w:numId w:val="1"/>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142241D1" w14:textId="77777777" w:rsidR="00413981" w:rsidRDefault="00413981" w:rsidP="00413981">
      <w:pPr>
        <w:rPr>
          <w:rFonts w:eastAsia="Arial" w:cs="Arial"/>
        </w:rPr>
      </w:pPr>
      <w:r>
        <w:rPr>
          <w:rFonts w:eastAsia="Arial" w:cs="Arial"/>
        </w:rPr>
        <w:t xml:space="preserve">Se dio por </w:t>
      </w:r>
      <w:r w:rsidRPr="00A02691">
        <w:rPr>
          <w:rFonts w:eastAsia="Arial" w:cs="Arial"/>
        </w:rPr>
        <w:t>clausurada la sesión a las 10:24 horas del 6 de octubre de 2020 y se firma esta acta.</w:t>
      </w:r>
    </w:p>
    <w:p w14:paraId="37A795E8" w14:textId="77777777" w:rsidR="00F22394" w:rsidRDefault="00F22394"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Haimé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441D273A" w14:textId="361A5FF4" w:rsidR="00186749" w:rsidRDefault="00EC6B98" w:rsidP="00CD0D2D">
      <w:pPr>
        <w:tabs>
          <w:tab w:val="left" w:pos="2610"/>
        </w:tabs>
        <w:rPr>
          <w:rFonts w:eastAsia="Arial" w:cs="Arial"/>
          <w:szCs w:val="22"/>
          <w:lang w:val="es-ES"/>
        </w:rPr>
      </w:pPr>
      <w:r w:rsidRPr="00EC6B98">
        <w:rPr>
          <w:rFonts w:eastAsia="Arial" w:cs="Arial"/>
          <w:szCs w:val="22"/>
          <w:lang w:val="es-ES"/>
        </w:rPr>
        <w:t>Última hoja del acta de la Quinta Sesión Ordinaria de la Comisión Ejecutiva de la Secretaría Ejecutiva del Sistema Estatal Anticorrupción de Jalisco, celebrada el 6 de octubre de 2020.</w:t>
      </w:r>
    </w:p>
    <w:p w14:paraId="3B929B52" w14:textId="025D6F2F" w:rsidR="00186749" w:rsidRDefault="00186749" w:rsidP="00CD0D2D">
      <w:pPr>
        <w:tabs>
          <w:tab w:val="left" w:pos="2610"/>
        </w:tabs>
        <w:rPr>
          <w:rFonts w:eastAsia="Arial" w:cs="Arial"/>
          <w:szCs w:val="22"/>
          <w:lang w:val="es-ES"/>
        </w:rPr>
      </w:pP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25BE" w14:textId="77777777" w:rsidR="003A4284" w:rsidRDefault="003A4284">
      <w:r>
        <w:separator/>
      </w:r>
    </w:p>
  </w:endnote>
  <w:endnote w:type="continuationSeparator" w:id="0">
    <w:p w14:paraId="7F8FA3B8" w14:textId="77777777" w:rsidR="003A4284" w:rsidRDefault="003A4284">
      <w:r>
        <w:continuationSeparator/>
      </w:r>
    </w:p>
  </w:endnote>
  <w:endnote w:type="continuationNotice" w:id="1">
    <w:p w14:paraId="50798C23" w14:textId="77777777" w:rsidR="003A4284" w:rsidRDefault="003A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Arial"/>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DD1F" w14:textId="77777777" w:rsidR="003A4284" w:rsidRDefault="003A4284">
      <w:r>
        <w:separator/>
      </w:r>
    </w:p>
  </w:footnote>
  <w:footnote w:type="continuationSeparator" w:id="0">
    <w:p w14:paraId="6790DF85" w14:textId="77777777" w:rsidR="003A4284" w:rsidRDefault="003A4284">
      <w:r>
        <w:continuationSeparator/>
      </w:r>
    </w:p>
  </w:footnote>
  <w:footnote w:type="continuationNotice" w:id="1">
    <w:p w14:paraId="7CD66F20" w14:textId="77777777" w:rsidR="003A4284" w:rsidRDefault="003A42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52C2B988"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C8745A">
      <w:rPr>
        <w:b w:val="0"/>
        <w:bCs/>
        <w:sz w:val="22"/>
        <w:szCs w:val="22"/>
      </w:rPr>
      <w:t>Quinta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066BC85F" w:rsidR="00B22975" w:rsidRPr="00B22975" w:rsidRDefault="003F6380" w:rsidP="00B22975">
    <w:pPr>
      <w:pStyle w:val="Ttulo1"/>
      <w:rPr>
        <w:sz w:val="28"/>
        <w:szCs w:val="28"/>
      </w:rPr>
    </w:pPr>
    <w:r>
      <w:rPr>
        <w:sz w:val="28"/>
        <w:szCs w:val="28"/>
      </w:rPr>
      <w:t xml:space="preserve">Acta de la </w:t>
    </w:r>
    <w:r w:rsidR="00930D28">
      <w:rPr>
        <w:sz w:val="28"/>
        <w:szCs w:val="28"/>
      </w:rPr>
      <w:t>Quinta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2"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3"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2"/>
  </w:num>
  <w:num w:numId="7">
    <w:abstractNumId w:val="10"/>
  </w:num>
  <w:num w:numId="8">
    <w:abstractNumId w:val="11"/>
  </w:num>
  <w:num w:numId="9">
    <w:abstractNumId w:val="2"/>
  </w:num>
  <w:num w:numId="10">
    <w:abstractNumId w:val="1"/>
  </w:num>
  <w:num w:numId="11">
    <w:abstractNumId w:val="7"/>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0439D"/>
    <w:rsid w:val="000160E6"/>
    <w:rsid w:val="000165EF"/>
    <w:rsid w:val="00023376"/>
    <w:rsid w:val="00024594"/>
    <w:rsid w:val="0003088E"/>
    <w:rsid w:val="000321D8"/>
    <w:rsid w:val="0004477D"/>
    <w:rsid w:val="00061CB3"/>
    <w:rsid w:val="00076C13"/>
    <w:rsid w:val="00077DE2"/>
    <w:rsid w:val="000A787E"/>
    <w:rsid w:val="000C3BEF"/>
    <w:rsid w:val="000F3443"/>
    <w:rsid w:val="00117115"/>
    <w:rsid w:val="00153533"/>
    <w:rsid w:val="00154F31"/>
    <w:rsid w:val="0016151D"/>
    <w:rsid w:val="00186749"/>
    <w:rsid w:val="00187922"/>
    <w:rsid w:val="001A22E7"/>
    <w:rsid w:val="001B08B4"/>
    <w:rsid w:val="001B36FD"/>
    <w:rsid w:val="001C71DE"/>
    <w:rsid w:val="001D465C"/>
    <w:rsid w:val="001D706E"/>
    <w:rsid w:val="001D7F7F"/>
    <w:rsid w:val="001E59AF"/>
    <w:rsid w:val="00206007"/>
    <w:rsid w:val="00211CA3"/>
    <w:rsid w:val="002120A0"/>
    <w:rsid w:val="00235B37"/>
    <w:rsid w:val="00252FEF"/>
    <w:rsid w:val="0027216E"/>
    <w:rsid w:val="002803DF"/>
    <w:rsid w:val="002873D1"/>
    <w:rsid w:val="00292DA5"/>
    <w:rsid w:val="002B4726"/>
    <w:rsid w:val="002C181A"/>
    <w:rsid w:val="002C4BAC"/>
    <w:rsid w:val="002E5B28"/>
    <w:rsid w:val="002F3212"/>
    <w:rsid w:val="002F376F"/>
    <w:rsid w:val="002F68A2"/>
    <w:rsid w:val="002F7C8B"/>
    <w:rsid w:val="002F7E3C"/>
    <w:rsid w:val="003015BE"/>
    <w:rsid w:val="00333274"/>
    <w:rsid w:val="00375CAA"/>
    <w:rsid w:val="00377DBC"/>
    <w:rsid w:val="00384DC2"/>
    <w:rsid w:val="003A1A4A"/>
    <w:rsid w:val="003A4284"/>
    <w:rsid w:val="003A7310"/>
    <w:rsid w:val="003B2AFA"/>
    <w:rsid w:val="003D6BDA"/>
    <w:rsid w:val="003F495D"/>
    <w:rsid w:val="003F501C"/>
    <w:rsid w:val="003F6380"/>
    <w:rsid w:val="00401596"/>
    <w:rsid w:val="004044A6"/>
    <w:rsid w:val="00405826"/>
    <w:rsid w:val="00413981"/>
    <w:rsid w:val="00427B18"/>
    <w:rsid w:val="004644C5"/>
    <w:rsid w:val="004655F1"/>
    <w:rsid w:val="00475148"/>
    <w:rsid w:val="00482C3D"/>
    <w:rsid w:val="00494212"/>
    <w:rsid w:val="004B616A"/>
    <w:rsid w:val="004D0ED2"/>
    <w:rsid w:val="004E4964"/>
    <w:rsid w:val="004E632F"/>
    <w:rsid w:val="004F425C"/>
    <w:rsid w:val="0051331E"/>
    <w:rsid w:val="00523AEA"/>
    <w:rsid w:val="00531B5C"/>
    <w:rsid w:val="0054424E"/>
    <w:rsid w:val="005526F5"/>
    <w:rsid w:val="00570820"/>
    <w:rsid w:val="00595C20"/>
    <w:rsid w:val="005B0363"/>
    <w:rsid w:val="005B5ED4"/>
    <w:rsid w:val="005C3DC0"/>
    <w:rsid w:val="005C5A66"/>
    <w:rsid w:val="005E5260"/>
    <w:rsid w:val="00606AD8"/>
    <w:rsid w:val="00614F35"/>
    <w:rsid w:val="00643A84"/>
    <w:rsid w:val="00651B3A"/>
    <w:rsid w:val="00656FA9"/>
    <w:rsid w:val="006831FE"/>
    <w:rsid w:val="006848EE"/>
    <w:rsid w:val="006A268B"/>
    <w:rsid w:val="006B3FF0"/>
    <w:rsid w:val="006D48A7"/>
    <w:rsid w:val="0070207E"/>
    <w:rsid w:val="00712878"/>
    <w:rsid w:val="007220A8"/>
    <w:rsid w:val="00740F07"/>
    <w:rsid w:val="00742A38"/>
    <w:rsid w:val="00744608"/>
    <w:rsid w:val="00751DD4"/>
    <w:rsid w:val="00755B3D"/>
    <w:rsid w:val="00762614"/>
    <w:rsid w:val="00771A6F"/>
    <w:rsid w:val="0077533C"/>
    <w:rsid w:val="00777113"/>
    <w:rsid w:val="007803FD"/>
    <w:rsid w:val="00783E1C"/>
    <w:rsid w:val="0079223F"/>
    <w:rsid w:val="007A0418"/>
    <w:rsid w:val="007A3398"/>
    <w:rsid w:val="007F04C3"/>
    <w:rsid w:val="007F26D3"/>
    <w:rsid w:val="00820015"/>
    <w:rsid w:val="00833D91"/>
    <w:rsid w:val="00855B33"/>
    <w:rsid w:val="008564D1"/>
    <w:rsid w:val="0087022A"/>
    <w:rsid w:val="008946FF"/>
    <w:rsid w:val="008958D8"/>
    <w:rsid w:val="008F39FC"/>
    <w:rsid w:val="00916F43"/>
    <w:rsid w:val="00924154"/>
    <w:rsid w:val="009279A0"/>
    <w:rsid w:val="00930D28"/>
    <w:rsid w:val="009342E5"/>
    <w:rsid w:val="00940020"/>
    <w:rsid w:val="00947DCA"/>
    <w:rsid w:val="00995C30"/>
    <w:rsid w:val="009A597E"/>
    <w:rsid w:val="009A7483"/>
    <w:rsid w:val="009B0ED6"/>
    <w:rsid w:val="009B1C14"/>
    <w:rsid w:val="009B205A"/>
    <w:rsid w:val="009C77E9"/>
    <w:rsid w:val="009E1FFF"/>
    <w:rsid w:val="009E2172"/>
    <w:rsid w:val="009E23BD"/>
    <w:rsid w:val="00A1062F"/>
    <w:rsid w:val="00A179EF"/>
    <w:rsid w:val="00A2197D"/>
    <w:rsid w:val="00A37FD9"/>
    <w:rsid w:val="00A63404"/>
    <w:rsid w:val="00A845E8"/>
    <w:rsid w:val="00A924E9"/>
    <w:rsid w:val="00AC1A91"/>
    <w:rsid w:val="00AE02F1"/>
    <w:rsid w:val="00AE4A27"/>
    <w:rsid w:val="00AF4E42"/>
    <w:rsid w:val="00B22975"/>
    <w:rsid w:val="00B275B1"/>
    <w:rsid w:val="00B51AD0"/>
    <w:rsid w:val="00B57A7B"/>
    <w:rsid w:val="00B7704E"/>
    <w:rsid w:val="00B84336"/>
    <w:rsid w:val="00B91EA6"/>
    <w:rsid w:val="00B93AE5"/>
    <w:rsid w:val="00B95E66"/>
    <w:rsid w:val="00B97186"/>
    <w:rsid w:val="00BB174E"/>
    <w:rsid w:val="00BD02B9"/>
    <w:rsid w:val="00BD5720"/>
    <w:rsid w:val="00BD7A12"/>
    <w:rsid w:val="00C017E9"/>
    <w:rsid w:val="00C13E03"/>
    <w:rsid w:val="00C22745"/>
    <w:rsid w:val="00C324AE"/>
    <w:rsid w:val="00C32742"/>
    <w:rsid w:val="00C6356B"/>
    <w:rsid w:val="00C7226B"/>
    <w:rsid w:val="00C7680C"/>
    <w:rsid w:val="00C80992"/>
    <w:rsid w:val="00C83422"/>
    <w:rsid w:val="00C86FA3"/>
    <w:rsid w:val="00C8745A"/>
    <w:rsid w:val="00CB7A91"/>
    <w:rsid w:val="00CB7DBD"/>
    <w:rsid w:val="00CD0D2D"/>
    <w:rsid w:val="00CD4FDF"/>
    <w:rsid w:val="00CE3DA9"/>
    <w:rsid w:val="00CF4AA6"/>
    <w:rsid w:val="00CF6CD5"/>
    <w:rsid w:val="00D13EA8"/>
    <w:rsid w:val="00D14E66"/>
    <w:rsid w:val="00D17FB7"/>
    <w:rsid w:val="00D2631D"/>
    <w:rsid w:val="00D4086C"/>
    <w:rsid w:val="00D514A6"/>
    <w:rsid w:val="00D53A01"/>
    <w:rsid w:val="00D6293B"/>
    <w:rsid w:val="00D7571E"/>
    <w:rsid w:val="00DB169F"/>
    <w:rsid w:val="00DC0428"/>
    <w:rsid w:val="00DD6E16"/>
    <w:rsid w:val="00DE3606"/>
    <w:rsid w:val="00DF3135"/>
    <w:rsid w:val="00E03329"/>
    <w:rsid w:val="00E037E0"/>
    <w:rsid w:val="00E0457A"/>
    <w:rsid w:val="00E061C8"/>
    <w:rsid w:val="00E43DE5"/>
    <w:rsid w:val="00E769D9"/>
    <w:rsid w:val="00E8113C"/>
    <w:rsid w:val="00E922D4"/>
    <w:rsid w:val="00E96067"/>
    <w:rsid w:val="00EA6095"/>
    <w:rsid w:val="00EC6B98"/>
    <w:rsid w:val="00EE1B49"/>
    <w:rsid w:val="00EF1C7A"/>
    <w:rsid w:val="00EF4CE2"/>
    <w:rsid w:val="00F02CB2"/>
    <w:rsid w:val="00F118E6"/>
    <w:rsid w:val="00F17396"/>
    <w:rsid w:val="00F22394"/>
    <w:rsid w:val="00F254BC"/>
    <w:rsid w:val="00F52B0B"/>
    <w:rsid w:val="00F677C7"/>
    <w:rsid w:val="00FA2772"/>
    <w:rsid w:val="00FD21C7"/>
    <w:rsid w:val="00FF1379"/>
    <w:rsid w:val="00FF26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Cuadrculadetab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UnresolvedMention">
    <w:name w:val="Unresolved Mention"/>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XQ9_7bn_UL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E0A53B-5C84-4AEE-B70A-103F697E2E0F}">
  <ds:schemaRefs>
    <ds:schemaRef ds:uri="e2d3aef2-ffb7-4886-b8a9-306dea04944a"/>
    <ds:schemaRef ds:uri="http://schemas.microsoft.com/office/2006/documentManagement/types"/>
    <ds:schemaRef ds:uri="95eb37b8-2aaa-4bc5-a58e-c663c2ecbc36"/>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5404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Navarro</cp:lastModifiedBy>
  <cp:revision>171</cp:revision>
  <dcterms:created xsi:type="dcterms:W3CDTF">2020-08-12T19:05:00Z</dcterms:created>
  <dcterms:modified xsi:type="dcterms:W3CDTF">2021-01-26T20:15:00Z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